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52498" w14:textId="6E4D438B" w:rsidR="008C5B37" w:rsidRPr="003E6E01" w:rsidRDefault="008C5B37" w:rsidP="003E6E01">
      <w:pPr>
        <w:autoSpaceDE w:val="0"/>
        <w:autoSpaceDN w:val="0"/>
        <w:adjustRightInd w:val="0"/>
        <w:spacing w:line="600" w:lineRule="exact"/>
        <w:rPr>
          <w:rFonts w:ascii="黑体" w:eastAsia="黑体" w:hAnsi="黑体"/>
          <w:b/>
          <w:bCs/>
          <w:sz w:val="28"/>
          <w:szCs w:val="28"/>
        </w:rPr>
      </w:pPr>
      <w:r w:rsidRPr="003E6E01">
        <w:rPr>
          <w:rFonts w:ascii="黑体" w:eastAsia="黑体" w:hAnsi="黑体"/>
          <w:b/>
          <w:bCs/>
          <w:sz w:val="28"/>
          <w:szCs w:val="28"/>
        </w:rPr>
        <w:t>证券代码：</w:t>
      </w:r>
      <w:r w:rsidR="00A446A8" w:rsidRPr="003E6E01">
        <w:rPr>
          <w:rFonts w:ascii="黑体" w:eastAsia="黑体" w:hAnsi="黑体"/>
          <w:b/>
          <w:bCs/>
          <w:sz w:val="28"/>
          <w:szCs w:val="28"/>
        </w:rPr>
        <w:t>688159</w:t>
      </w:r>
      <w:r w:rsidRPr="003E6E01">
        <w:rPr>
          <w:rFonts w:ascii="黑体" w:eastAsia="黑体" w:hAnsi="黑体"/>
          <w:b/>
          <w:bCs/>
          <w:sz w:val="28"/>
          <w:szCs w:val="28"/>
        </w:rPr>
        <w:t xml:space="preserve">  </w:t>
      </w:r>
      <w:r w:rsidR="006F536C" w:rsidRPr="003E6E01">
        <w:rPr>
          <w:rFonts w:ascii="黑体" w:eastAsia="黑体" w:hAnsi="黑体"/>
          <w:b/>
          <w:bCs/>
          <w:sz w:val="28"/>
          <w:szCs w:val="28"/>
        </w:rPr>
        <w:t xml:space="preserve">  </w:t>
      </w:r>
      <w:r w:rsidRPr="003E6E01">
        <w:rPr>
          <w:rFonts w:ascii="黑体" w:eastAsia="黑体" w:hAnsi="黑体"/>
          <w:b/>
          <w:bCs/>
          <w:sz w:val="28"/>
          <w:szCs w:val="28"/>
        </w:rPr>
        <w:t>证券简称：</w:t>
      </w:r>
      <w:r w:rsidR="00A446A8" w:rsidRPr="003E6E01">
        <w:rPr>
          <w:rFonts w:ascii="黑体" w:eastAsia="黑体" w:hAnsi="黑体"/>
          <w:b/>
          <w:bCs/>
          <w:sz w:val="28"/>
          <w:szCs w:val="28"/>
        </w:rPr>
        <w:t>有方科技</w:t>
      </w:r>
      <w:r w:rsidR="006F536C" w:rsidRPr="003E6E01">
        <w:rPr>
          <w:rFonts w:ascii="黑体" w:eastAsia="黑体" w:hAnsi="黑体"/>
          <w:b/>
          <w:bCs/>
          <w:sz w:val="28"/>
          <w:szCs w:val="28"/>
        </w:rPr>
        <w:t xml:space="preserve">  </w:t>
      </w:r>
      <w:r w:rsidRPr="003E6E01">
        <w:rPr>
          <w:rFonts w:ascii="黑体" w:eastAsia="黑体" w:hAnsi="黑体"/>
          <w:b/>
          <w:bCs/>
          <w:sz w:val="28"/>
          <w:szCs w:val="28"/>
        </w:rPr>
        <w:t xml:space="preserve">  公告编号：</w:t>
      </w:r>
      <w:r w:rsidR="00A446A8" w:rsidRPr="003E6E01">
        <w:rPr>
          <w:rFonts w:ascii="黑体" w:eastAsia="黑体" w:hAnsi="黑体"/>
          <w:b/>
          <w:bCs/>
          <w:sz w:val="28"/>
          <w:szCs w:val="28"/>
        </w:rPr>
        <w:t>202</w:t>
      </w:r>
      <w:r w:rsidR="0033456B" w:rsidRPr="003E6E01">
        <w:rPr>
          <w:rFonts w:ascii="黑体" w:eastAsia="黑体" w:hAnsi="黑体" w:hint="eastAsia"/>
          <w:b/>
          <w:bCs/>
          <w:sz w:val="28"/>
          <w:szCs w:val="28"/>
        </w:rPr>
        <w:t>1</w:t>
      </w:r>
      <w:r w:rsidR="00A446A8" w:rsidRPr="003E6E01">
        <w:rPr>
          <w:rFonts w:ascii="黑体" w:eastAsia="黑体" w:hAnsi="黑体"/>
          <w:b/>
          <w:bCs/>
          <w:sz w:val="28"/>
          <w:szCs w:val="28"/>
        </w:rPr>
        <w:t>-</w:t>
      </w:r>
      <w:r w:rsidR="008E1DE8" w:rsidRPr="003E6E01">
        <w:rPr>
          <w:rFonts w:ascii="黑体" w:eastAsia="黑体" w:hAnsi="黑体"/>
          <w:b/>
          <w:bCs/>
          <w:sz w:val="28"/>
          <w:szCs w:val="28"/>
        </w:rPr>
        <w:t>0</w:t>
      </w:r>
      <w:r w:rsidR="0033456B" w:rsidRPr="003E6E01">
        <w:rPr>
          <w:rFonts w:ascii="黑体" w:eastAsia="黑体" w:hAnsi="黑体" w:hint="eastAsia"/>
          <w:b/>
          <w:bCs/>
          <w:sz w:val="28"/>
          <w:szCs w:val="28"/>
        </w:rPr>
        <w:t>1</w:t>
      </w:r>
      <w:r w:rsidR="00735F88">
        <w:rPr>
          <w:rFonts w:ascii="黑体" w:eastAsia="黑体" w:hAnsi="黑体" w:hint="eastAsia"/>
          <w:b/>
          <w:bCs/>
          <w:sz w:val="28"/>
          <w:szCs w:val="28"/>
        </w:rPr>
        <w:t>4</w:t>
      </w:r>
    </w:p>
    <w:p w14:paraId="43C9BDAD" w14:textId="77777777" w:rsidR="00A446A8" w:rsidRPr="00B662B3" w:rsidRDefault="00A446A8" w:rsidP="00837A17">
      <w:pPr>
        <w:autoSpaceDE w:val="0"/>
        <w:autoSpaceDN w:val="0"/>
        <w:adjustRightInd w:val="0"/>
        <w:spacing w:line="600" w:lineRule="exact"/>
        <w:jc w:val="center"/>
        <w:rPr>
          <w:rFonts w:eastAsia="仿宋_GB2312"/>
          <w:bCs/>
          <w:sz w:val="30"/>
          <w:szCs w:val="30"/>
        </w:rPr>
      </w:pPr>
    </w:p>
    <w:p w14:paraId="2D7E6340" w14:textId="77777777" w:rsidR="00A446A8" w:rsidRPr="00B662B3" w:rsidRDefault="00A446A8" w:rsidP="00837A17">
      <w:pPr>
        <w:autoSpaceDE w:val="0"/>
        <w:autoSpaceDN w:val="0"/>
        <w:adjustRightInd w:val="0"/>
        <w:spacing w:line="600" w:lineRule="exact"/>
        <w:jc w:val="center"/>
        <w:rPr>
          <w:rFonts w:eastAsia="黑体"/>
          <w:b/>
          <w:sz w:val="44"/>
          <w:szCs w:val="44"/>
        </w:rPr>
      </w:pPr>
      <w:r w:rsidRPr="00B662B3">
        <w:rPr>
          <w:rFonts w:eastAsia="黑体"/>
          <w:b/>
          <w:sz w:val="44"/>
          <w:szCs w:val="44"/>
        </w:rPr>
        <w:t>深圳市有方科技</w:t>
      </w:r>
      <w:r w:rsidR="008C5B37" w:rsidRPr="00B662B3">
        <w:rPr>
          <w:rFonts w:eastAsia="黑体"/>
          <w:b/>
          <w:sz w:val="44"/>
          <w:szCs w:val="44"/>
        </w:rPr>
        <w:t>股份有限公司</w:t>
      </w:r>
      <w:r w:rsidRPr="00B662B3">
        <w:rPr>
          <w:rFonts w:eastAsia="黑体"/>
          <w:b/>
          <w:sz w:val="44"/>
          <w:szCs w:val="44"/>
        </w:rPr>
        <w:t>关于</w:t>
      </w:r>
    </w:p>
    <w:p w14:paraId="64B25A13" w14:textId="3E6D38BC" w:rsidR="008C5B37" w:rsidRPr="00B662B3" w:rsidRDefault="00A446A8" w:rsidP="00837A17">
      <w:pPr>
        <w:autoSpaceDE w:val="0"/>
        <w:autoSpaceDN w:val="0"/>
        <w:adjustRightInd w:val="0"/>
        <w:spacing w:line="600" w:lineRule="exact"/>
        <w:jc w:val="center"/>
        <w:rPr>
          <w:rFonts w:eastAsia="黑体"/>
          <w:b/>
          <w:sz w:val="44"/>
          <w:szCs w:val="44"/>
        </w:rPr>
      </w:pPr>
      <w:r w:rsidRPr="00B662B3">
        <w:rPr>
          <w:rFonts w:eastAsia="黑体"/>
          <w:b/>
          <w:sz w:val="44"/>
          <w:szCs w:val="44"/>
        </w:rPr>
        <w:t>预计</w:t>
      </w:r>
      <w:r w:rsidRPr="00B662B3">
        <w:rPr>
          <w:rFonts w:eastAsia="黑体"/>
          <w:b/>
          <w:sz w:val="44"/>
          <w:szCs w:val="44"/>
        </w:rPr>
        <w:t>202</w:t>
      </w:r>
      <w:r w:rsidR="0033456B">
        <w:rPr>
          <w:rFonts w:eastAsia="黑体" w:hint="eastAsia"/>
          <w:b/>
          <w:sz w:val="44"/>
          <w:szCs w:val="44"/>
        </w:rPr>
        <w:t>1</w:t>
      </w:r>
      <w:r w:rsidRPr="00B662B3">
        <w:rPr>
          <w:rFonts w:eastAsia="黑体"/>
          <w:b/>
          <w:sz w:val="44"/>
          <w:szCs w:val="44"/>
        </w:rPr>
        <w:t>年</w:t>
      </w:r>
      <w:r w:rsidR="008C5B37" w:rsidRPr="00B662B3">
        <w:rPr>
          <w:rFonts w:eastAsia="黑体"/>
          <w:b/>
          <w:sz w:val="44"/>
          <w:szCs w:val="44"/>
        </w:rPr>
        <w:t>日常</w:t>
      </w:r>
      <w:r w:rsidR="009D6E6E" w:rsidRPr="00B662B3">
        <w:rPr>
          <w:rFonts w:eastAsia="黑体"/>
          <w:b/>
          <w:sz w:val="44"/>
          <w:szCs w:val="44"/>
        </w:rPr>
        <w:t>性</w:t>
      </w:r>
      <w:r w:rsidR="008C5B37" w:rsidRPr="00B662B3">
        <w:rPr>
          <w:rFonts w:eastAsia="黑体"/>
          <w:b/>
          <w:sz w:val="44"/>
          <w:szCs w:val="44"/>
        </w:rPr>
        <w:t>关联交易</w:t>
      </w:r>
      <w:r w:rsidRPr="00B662B3">
        <w:rPr>
          <w:rFonts w:eastAsia="黑体"/>
          <w:b/>
          <w:sz w:val="44"/>
          <w:szCs w:val="44"/>
        </w:rPr>
        <w:t>额度的</w:t>
      </w:r>
      <w:r w:rsidR="008C5B37" w:rsidRPr="00B662B3">
        <w:rPr>
          <w:rFonts w:eastAsia="黑体"/>
          <w:b/>
          <w:sz w:val="44"/>
          <w:szCs w:val="44"/>
        </w:rPr>
        <w:t>公告</w:t>
      </w:r>
    </w:p>
    <w:p w14:paraId="29368437" w14:textId="77777777" w:rsidR="008C5B37" w:rsidRPr="00B662B3" w:rsidRDefault="008C5B37" w:rsidP="00837A17">
      <w:pPr>
        <w:autoSpaceDE w:val="0"/>
        <w:autoSpaceDN w:val="0"/>
        <w:adjustRightInd w:val="0"/>
        <w:spacing w:line="600" w:lineRule="exact"/>
        <w:ind w:firstLineChars="200" w:firstLine="602"/>
        <w:jc w:val="center"/>
        <w:rPr>
          <w:rFonts w:eastAsia="仿宋_GB2312"/>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C5B37" w:rsidRPr="00B662B3" w14:paraId="7CBF3878" w14:textId="77777777" w:rsidTr="00E3628B">
        <w:trPr>
          <w:trHeight w:val="1367"/>
          <w:jc w:val="center"/>
        </w:trPr>
        <w:tc>
          <w:tcPr>
            <w:tcW w:w="8528" w:type="dxa"/>
            <w:tcBorders>
              <w:top w:val="single" w:sz="4" w:space="0" w:color="auto"/>
              <w:left w:val="single" w:sz="4" w:space="0" w:color="auto"/>
              <w:bottom w:val="single" w:sz="4" w:space="0" w:color="auto"/>
              <w:right w:val="single" w:sz="4" w:space="0" w:color="auto"/>
            </w:tcBorders>
          </w:tcPr>
          <w:p w14:paraId="2531A622" w14:textId="328CB445" w:rsidR="008C5B37" w:rsidRPr="00B662B3" w:rsidRDefault="008C5B37" w:rsidP="0033456B">
            <w:pPr>
              <w:autoSpaceDE w:val="0"/>
              <w:autoSpaceDN w:val="0"/>
              <w:adjustRightInd w:val="0"/>
              <w:spacing w:line="600" w:lineRule="exact"/>
              <w:ind w:firstLineChars="200" w:firstLine="480"/>
              <w:jc w:val="left"/>
              <w:rPr>
                <w:rFonts w:eastAsia="仿宋_GB2312"/>
                <w:sz w:val="30"/>
                <w:szCs w:val="30"/>
              </w:rPr>
            </w:pPr>
            <w:r w:rsidRPr="00B662B3">
              <w:rPr>
                <w:sz w:val="24"/>
              </w:rPr>
              <w:t>本公司董事会及全体董事保证本公告内容不存在任何虚假记载、误导性陈述或者重大遗漏，并对其内容的真实性、准确性和完整性</w:t>
            </w:r>
            <w:r w:rsidR="00325A69" w:rsidRPr="00B662B3">
              <w:rPr>
                <w:sz w:val="24"/>
              </w:rPr>
              <w:t>依法</w:t>
            </w:r>
            <w:r w:rsidRPr="00B662B3">
              <w:rPr>
                <w:sz w:val="24"/>
              </w:rPr>
              <w:t>承担</w:t>
            </w:r>
            <w:r w:rsidR="00325A69" w:rsidRPr="00B662B3">
              <w:rPr>
                <w:sz w:val="24"/>
              </w:rPr>
              <w:t>法律</w:t>
            </w:r>
            <w:r w:rsidRPr="00B662B3">
              <w:rPr>
                <w:sz w:val="24"/>
              </w:rPr>
              <w:t>责任。</w:t>
            </w:r>
          </w:p>
        </w:tc>
      </w:tr>
    </w:tbl>
    <w:p w14:paraId="4EE656CB" w14:textId="77777777" w:rsidR="008C5B37" w:rsidRPr="00B662B3" w:rsidRDefault="008C5B37" w:rsidP="00837A17">
      <w:pPr>
        <w:autoSpaceDE w:val="0"/>
        <w:autoSpaceDN w:val="0"/>
        <w:adjustRightInd w:val="0"/>
        <w:spacing w:line="600" w:lineRule="exact"/>
        <w:ind w:firstLineChars="200" w:firstLine="600"/>
        <w:jc w:val="left"/>
        <w:rPr>
          <w:rFonts w:eastAsia="仿宋_GB2312"/>
          <w:sz w:val="30"/>
          <w:szCs w:val="30"/>
        </w:rPr>
      </w:pPr>
    </w:p>
    <w:p w14:paraId="759C85AE" w14:textId="77777777" w:rsidR="008C5B37" w:rsidRPr="00B662B3" w:rsidRDefault="008C5B37" w:rsidP="00837A17">
      <w:pPr>
        <w:autoSpaceDE w:val="0"/>
        <w:autoSpaceDN w:val="0"/>
        <w:adjustRightInd w:val="0"/>
        <w:spacing w:line="600" w:lineRule="exact"/>
        <w:ind w:firstLineChars="200" w:firstLine="562"/>
        <w:jc w:val="left"/>
        <w:rPr>
          <w:b/>
          <w:sz w:val="28"/>
          <w:szCs w:val="28"/>
        </w:rPr>
      </w:pPr>
      <w:r w:rsidRPr="00B662B3">
        <w:rPr>
          <w:b/>
          <w:sz w:val="28"/>
          <w:szCs w:val="28"/>
        </w:rPr>
        <w:t>重要内容提示：</w:t>
      </w:r>
    </w:p>
    <w:p w14:paraId="10C15F8C" w14:textId="77777777" w:rsidR="008C5B37" w:rsidRPr="00B662B3" w:rsidRDefault="008C5B37" w:rsidP="00837A17">
      <w:pPr>
        <w:numPr>
          <w:ilvl w:val="0"/>
          <w:numId w:val="4"/>
        </w:numPr>
        <w:autoSpaceDE w:val="0"/>
        <w:autoSpaceDN w:val="0"/>
        <w:adjustRightInd w:val="0"/>
        <w:spacing w:line="600" w:lineRule="exact"/>
        <w:ind w:left="0" w:firstLineChars="200" w:firstLine="560"/>
        <w:jc w:val="left"/>
        <w:rPr>
          <w:sz w:val="28"/>
          <w:szCs w:val="28"/>
        </w:rPr>
      </w:pPr>
      <w:r w:rsidRPr="00B662B3">
        <w:rPr>
          <w:sz w:val="28"/>
          <w:szCs w:val="28"/>
        </w:rPr>
        <w:t>是否需要提交股东大会审议</w:t>
      </w:r>
      <w:r w:rsidR="003D398F" w:rsidRPr="00B662B3">
        <w:rPr>
          <w:sz w:val="28"/>
          <w:szCs w:val="28"/>
        </w:rPr>
        <w:t>：是</w:t>
      </w:r>
    </w:p>
    <w:p w14:paraId="657B30BC" w14:textId="77777777" w:rsidR="008C5B37" w:rsidRPr="00B662B3" w:rsidRDefault="008C5B37" w:rsidP="003D398F">
      <w:pPr>
        <w:numPr>
          <w:ilvl w:val="0"/>
          <w:numId w:val="4"/>
        </w:numPr>
        <w:autoSpaceDE w:val="0"/>
        <w:autoSpaceDN w:val="0"/>
        <w:adjustRightInd w:val="0"/>
        <w:spacing w:line="600" w:lineRule="exact"/>
        <w:jc w:val="left"/>
        <w:rPr>
          <w:sz w:val="28"/>
          <w:szCs w:val="28"/>
        </w:rPr>
      </w:pPr>
      <w:r w:rsidRPr="00B662B3">
        <w:rPr>
          <w:sz w:val="28"/>
          <w:szCs w:val="28"/>
        </w:rPr>
        <w:t>日常关联交易对上市公司的影响</w:t>
      </w:r>
      <w:r w:rsidR="003D398F" w:rsidRPr="00B662B3">
        <w:rPr>
          <w:sz w:val="28"/>
          <w:szCs w:val="28"/>
        </w:rPr>
        <w:t>：本次关联交易属公司日常关联交易，是以正常生产经营业务为基础，以市场价格为定价依据，不影响公司的独立性，不存在损害公司及股东利益的情形，不会对关联人形成较大的依赖。</w:t>
      </w:r>
    </w:p>
    <w:p w14:paraId="420982F3" w14:textId="77777777" w:rsidR="008C5B37" w:rsidRPr="00B662B3" w:rsidRDefault="008C5B37" w:rsidP="00837A17">
      <w:pPr>
        <w:adjustRightInd w:val="0"/>
        <w:spacing w:line="600" w:lineRule="exact"/>
        <w:ind w:firstLineChars="200" w:firstLine="562"/>
        <w:jc w:val="left"/>
        <w:rPr>
          <w:b/>
          <w:bCs/>
          <w:sz w:val="28"/>
          <w:szCs w:val="28"/>
        </w:rPr>
      </w:pPr>
      <w:r w:rsidRPr="00B662B3">
        <w:rPr>
          <w:b/>
          <w:bCs/>
          <w:sz w:val="28"/>
          <w:szCs w:val="28"/>
        </w:rPr>
        <w:t>一、日常关联交易基本情况</w:t>
      </w:r>
    </w:p>
    <w:p w14:paraId="01F17847" w14:textId="77777777" w:rsidR="008C5B37" w:rsidRPr="00B662B3" w:rsidRDefault="008C5B37" w:rsidP="00837A17">
      <w:pPr>
        <w:autoSpaceDE w:val="0"/>
        <w:autoSpaceDN w:val="0"/>
        <w:adjustRightInd w:val="0"/>
        <w:spacing w:line="600" w:lineRule="exact"/>
        <w:ind w:firstLineChars="200" w:firstLine="560"/>
        <w:jc w:val="left"/>
        <w:rPr>
          <w:sz w:val="28"/>
          <w:szCs w:val="28"/>
        </w:rPr>
      </w:pPr>
      <w:r w:rsidRPr="00B662B3">
        <w:rPr>
          <w:sz w:val="28"/>
          <w:szCs w:val="28"/>
        </w:rPr>
        <w:t>（一）日常关联交易履行的审议程序</w:t>
      </w:r>
    </w:p>
    <w:p w14:paraId="279FE0A9" w14:textId="2C5EC995" w:rsidR="005E5ADC" w:rsidRPr="00B662B3" w:rsidRDefault="005E5ADC" w:rsidP="002D3F86">
      <w:pPr>
        <w:adjustRightInd w:val="0"/>
        <w:spacing w:line="600" w:lineRule="exact"/>
        <w:ind w:firstLineChars="200" w:firstLine="560"/>
        <w:rPr>
          <w:sz w:val="28"/>
          <w:szCs w:val="28"/>
        </w:rPr>
      </w:pPr>
      <w:r w:rsidRPr="00B662B3">
        <w:rPr>
          <w:sz w:val="28"/>
          <w:szCs w:val="28"/>
        </w:rPr>
        <w:t>深圳市有方科技股份有限公司（以下简</w:t>
      </w:r>
      <w:r w:rsidRPr="00165481">
        <w:rPr>
          <w:rFonts w:ascii="宋体" w:hAnsi="宋体"/>
          <w:sz w:val="28"/>
          <w:szCs w:val="28"/>
        </w:rPr>
        <w:t>称“公司”）</w:t>
      </w:r>
      <w:r w:rsidRPr="00B662B3">
        <w:rPr>
          <w:sz w:val="28"/>
          <w:szCs w:val="28"/>
        </w:rPr>
        <w:t>于</w:t>
      </w:r>
      <w:r w:rsidRPr="00B662B3">
        <w:rPr>
          <w:sz w:val="28"/>
          <w:szCs w:val="28"/>
        </w:rPr>
        <w:t>202</w:t>
      </w:r>
      <w:r w:rsidR="0033456B">
        <w:rPr>
          <w:rFonts w:hint="eastAsia"/>
          <w:sz w:val="28"/>
          <w:szCs w:val="28"/>
        </w:rPr>
        <w:t>1</w:t>
      </w:r>
      <w:r w:rsidRPr="00B662B3">
        <w:rPr>
          <w:sz w:val="28"/>
          <w:szCs w:val="28"/>
        </w:rPr>
        <w:t>年</w:t>
      </w:r>
      <w:r w:rsidR="0033456B">
        <w:rPr>
          <w:rFonts w:hint="eastAsia"/>
          <w:sz w:val="28"/>
          <w:szCs w:val="28"/>
        </w:rPr>
        <w:t>3</w:t>
      </w:r>
      <w:r w:rsidRPr="00B662B3">
        <w:rPr>
          <w:sz w:val="28"/>
          <w:szCs w:val="28"/>
        </w:rPr>
        <w:t>月</w:t>
      </w:r>
      <w:r w:rsidR="00735F88">
        <w:rPr>
          <w:rFonts w:hint="eastAsia"/>
          <w:sz w:val="28"/>
          <w:szCs w:val="28"/>
        </w:rPr>
        <w:t>24</w:t>
      </w:r>
      <w:r w:rsidRPr="00B662B3">
        <w:rPr>
          <w:sz w:val="28"/>
          <w:szCs w:val="28"/>
        </w:rPr>
        <w:t>日召开第二届董事会第</w:t>
      </w:r>
      <w:r w:rsidR="0033456B">
        <w:rPr>
          <w:rFonts w:hint="eastAsia"/>
          <w:sz w:val="28"/>
          <w:szCs w:val="28"/>
        </w:rPr>
        <w:t>二十五</w:t>
      </w:r>
      <w:r w:rsidRPr="00B662B3">
        <w:rPr>
          <w:sz w:val="28"/>
          <w:szCs w:val="28"/>
        </w:rPr>
        <w:t>次会议、第二届监事会第</w:t>
      </w:r>
      <w:r w:rsidR="0033456B">
        <w:rPr>
          <w:rFonts w:hint="eastAsia"/>
          <w:sz w:val="28"/>
          <w:szCs w:val="28"/>
        </w:rPr>
        <w:t>十八</w:t>
      </w:r>
      <w:r w:rsidRPr="00B662B3">
        <w:rPr>
          <w:sz w:val="28"/>
          <w:szCs w:val="28"/>
        </w:rPr>
        <w:t>次会议，审议通过了《关于预计公司</w:t>
      </w:r>
      <w:r w:rsidRPr="00B662B3">
        <w:rPr>
          <w:sz w:val="28"/>
          <w:szCs w:val="28"/>
        </w:rPr>
        <w:t>202</w:t>
      </w:r>
      <w:r w:rsidR="0033456B">
        <w:rPr>
          <w:rFonts w:hint="eastAsia"/>
          <w:sz w:val="28"/>
          <w:szCs w:val="28"/>
        </w:rPr>
        <w:t>1</w:t>
      </w:r>
      <w:r w:rsidRPr="00B662B3">
        <w:rPr>
          <w:sz w:val="28"/>
          <w:szCs w:val="28"/>
        </w:rPr>
        <w:t>年日常性关联交易额度的议案》，本次日常关联交易预计金额合计为</w:t>
      </w:r>
      <w:r w:rsidR="0033456B">
        <w:rPr>
          <w:rFonts w:hint="eastAsia"/>
          <w:sz w:val="28"/>
          <w:szCs w:val="28"/>
        </w:rPr>
        <w:t>5</w:t>
      </w:r>
      <w:r w:rsidR="002D3F86" w:rsidRPr="00B662B3">
        <w:rPr>
          <w:sz w:val="28"/>
          <w:szCs w:val="28"/>
        </w:rPr>
        <w:t>,600</w:t>
      </w:r>
      <w:r w:rsidRPr="00B662B3">
        <w:rPr>
          <w:sz w:val="28"/>
          <w:szCs w:val="28"/>
        </w:rPr>
        <w:t>万元人民币，关联董事予以回避表决，出席会议的非关联董事一致同意该议案。</w:t>
      </w:r>
    </w:p>
    <w:p w14:paraId="0A16794C" w14:textId="77777777" w:rsidR="0033456B" w:rsidRDefault="005E5ADC" w:rsidP="00B26E94">
      <w:pPr>
        <w:spacing w:beforeLines="50" w:before="156" w:afterLines="50" w:after="156" w:line="360" w:lineRule="auto"/>
        <w:ind w:firstLineChars="200" w:firstLine="560"/>
        <w:rPr>
          <w:rFonts w:ascii="宋体" w:hAnsi="宋体"/>
          <w:sz w:val="28"/>
          <w:szCs w:val="28"/>
        </w:rPr>
      </w:pPr>
      <w:r w:rsidRPr="00B662B3">
        <w:rPr>
          <w:sz w:val="28"/>
          <w:szCs w:val="28"/>
        </w:rPr>
        <w:t>公司独立董事已就该议案进行了事前认可，并在董事会上发表了</w:t>
      </w:r>
      <w:r w:rsidRPr="00B662B3">
        <w:rPr>
          <w:sz w:val="28"/>
          <w:szCs w:val="28"/>
        </w:rPr>
        <w:lastRenderedPageBreak/>
        <w:t>明确同意的独立意见，认为：</w:t>
      </w:r>
      <w:r w:rsidR="0033456B" w:rsidRPr="0033456B">
        <w:rPr>
          <w:rFonts w:ascii="宋体" w:hAnsi="宋体" w:hint="eastAsia"/>
          <w:sz w:val="28"/>
          <w:szCs w:val="28"/>
        </w:rPr>
        <w:t>公司及全资子公司预计2021年度与关联方之间发生的日常性关联交易，均基于公司的业务发展及生产经营的需要，交易定价方式及定价依据按市场定价进行，不存在损害公司及中小股东利益的情形，不影响公司的独立性，公司的主要业务不会因上述关联交易而对关联方形成依赖。董事会在对该议案进行表决时，公司关联董事予以回避表决，董事会的审议和表决程序符合法律、法规及《公司章程》等相关制度的规定。</w:t>
      </w:r>
    </w:p>
    <w:p w14:paraId="63E5C95F" w14:textId="06E3AFA5" w:rsidR="005E5ADC" w:rsidRPr="00B662B3" w:rsidRDefault="00212E44" w:rsidP="00B26E94">
      <w:pPr>
        <w:spacing w:beforeLines="50" w:before="156" w:afterLines="50" w:after="156" w:line="360" w:lineRule="auto"/>
        <w:ind w:firstLineChars="200" w:firstLine="560"/>
        <w:rPr>
          <w:sz w:val="28"/>
          <w:szCs w:val="28"/>
        </w:rPr>
      </w:pPr>
      <w:r w:rsidRPr="005E5ADC">
        <w:rPr>
          <w:rFonts w:ascii="宋体" w:hAnsi="宋体" w:hint="eastAsia"/>
          <w:sz w:val="28"/>
          <w:szCs w:val="28"/>
        </w:rPr>
        <w:t>公司董事会审计委员会审议通过该议案，发表意见认为：</w:t>
      </w:r>
      <w:r w:rsidR="0033456B" w:rsidRPr="0033456B">
        <w:rPr>
          <w:rFonts w:ascii="宋体" w:hAnsi="宋体" w:hint="eastAsia"/>
          <w:sz w:val="28"/>
          <w:szCs w:val="28"/>
        </w:rPr>
        <w:t>公司及子公司与关联方发生的预计2021年发生的日常关联交易是基于公司业务发展和生产经营的需要，且将遵循诚实信用、等价有偿、公平自愿、合理公允的基本原则，依市场公允价格，协商定价、交易。本次交易的决策程序合法、有效，不存在损害公司及中小股东利益的情形。</w:t>
      </w:r>
    </w:p>
    <w:p w14:paraId="016B30B6" w14:textId="77777777" w:rsidR="005E5ADC" w:rsidRPr="00B662B3" w:rsidRDefault="005E5ADC" w:rsidP="005E5ADC">
      <w:pPr>
        <w:adjustRightInd w:val="0"/>
        <w:spacing w:line="600" w:lineRule="exact"/>
        <w:ind w:firstLineChars="200" w:firstLine="560"/>
        <w:jc w:val="left"/>
        <w:rPr>
          <w:sz w:val="28"/>
          <w:szCs w:val="28"/>
        </w:rPr>
      </w:pPr>
      <w:r w:rsidRPr="00B662B3">
        <w:rPr>
          <w:sz w:val="28"/>
          <w:szCs w:val="28"/>
        </w:rPr>
        <w:t>本次日常关联交易额度预计事项需提交股东大会审议</w:t>
      </w:r>
      <w:r w:rsidR="00482F6C">
        <w:rPr>
          <w:rFonts w:hint="eastAsia"/>
          <w:sz w:val="28"/>
          <w:szCs w:val="28"/>
        </w:rPr>
        <w:t>，关联股东将回避表决</w:t>
      </w:r>
      <w:r w:rsidRPr="00B662B3">
        <w:rPr>
          <w:sz w:val="28"/>
          <w:szCs w:val="28"/>
        </w:rPr>
        <w:t>。</w:t>
      </w:r>
    </w:p>
    <w:p w14:paraId="08385883" w14:textId="3A64C084" w:rsidR="005735D6" w:rsidRDefault="005735D6" w:rsidP="00837A17">
      <w:pPr>
        <w:adjustRightInd w:val="0"/>
        <w:spacing w:line="600" w:lineRule="exact"/>
        <w:ind w:firstLineChars="200" w:firstLine="560"/>
        <w:jc w:val="left"/>
        <w:rPr>
          <w:bCs/>
          <w:sz w:val="28"/>
          <w:szCs w:val="28"/>
        </w:rPr>
      </w:pPr>
      <w:r w:rsidRPr="00B662B3">
        <w:rPr>
          <w:bCs/>
          <w:sz w:val="28"/>
          <w:szCs w:val="28"/>
        </w:rPr>
        <w:t>（二）本次日常关联交易预计金额和类别</w:t>
      </w:r>
    </w:p>
    <w:p w14:paraId="3AD7FD0E" w14:textId="77777777" w:rsidR="00955551" w:rsidRPr="00B662B3" w:rsidRDefault="00955551" w:rsidP="00837A17">
      <w:pPr>
        <w:adjustRightInd w:val="0"/>
        <w:spacing w:line="600" w:lineRule="exact"/>
        <w:ind w:firstLineChars="200" w:firstLine="560"/>
        <w:jc w:val="left"/>
        <w:rPr>
          <w:bCs/>
          <w:sz w:val="28"/>
          <w:szCs w:val="28"/>
        </w:rPr>
      </w:pPr>
    </w:p>
    <w:p w14:paraId="74A85B60" w14:textId="77777777" w:rsidR="004259FE" w:rsidRPr="00B662B3" w:rsidRDefault="004259FE" w:rsidP="004259FE">
      <w:pPr>
        <w:adjustRightInd w:val="0"/>
        <w:spacing w:line="600" w:lineRule="exact"/>
        <w:ind w:firstLineChars="200" w:firstLine="480"/>
        <w:jc w:val="right"/>
        <w:rPr>
          <w:sz w:val="24"/>
        </w:rPr>
      </w:pPr>
      <w:r w:rsidRPr="00B662B3">
        <w:rPr>
          <w:sz w:val="24"/>
        </w:rPr>
        <w:t>单位：万元</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8"/>
        <w:gridCol w:w="1297"/>
        <w:gridCol w:w="1113"/>
        <w:gridCol w:w="828"/>
        <w:gridCol w:w="1179"/>
        <w:gridCol w:w="941"/>
        <w:gridCol w:w="900"/>
        <w:gridCol w:w="1326"/>
      </w:tblGrid>
      <w:tr w:rsidR="004C51F7" w:rsidRPr="00B662B3" w14:paraId="7FE6AA48" w14:textId="77777777" w:rsidTr="00212E44">
        <w:trPr>
          <w:trHeight w:val="340"/>
        </w:trPr>
        <w:tc>
          <w:tcPr>
            <w:tcW w:w="938" w:type="dxa"/>
            <w:shd w:val="clear" w:color="auto" w:fill="FFFFFF"/>
            <w:vAlign w:val="center"/>
          </w:tcPr>
          <w:p w14:paraId="79C669A5" w14:textId="77777777" w:rsidR="005735D6" w:rsidRPr="00B662B3" w:rsidRDefault="005735D6" w:rsidP="00FA215E">
            <w:pPr>
              <w:widowControl/>
              <w:jc w:val="center"/>
              <w:rPr>
                <w:b/>
                <w:kern w:val="0"/>
                <w:sz w:val="24"/>
              </w:rPr>
            </w:pPr>
            <w:r w:rsidRPr="00B662B3">
              <w:rPr>
                <w:b/>
                <w:kern w:val="0"/>
                <w:sz w:val="24"/>
              </w:rPr>
              <w:t>关联交易类别</w:t>
            </w:r>
          </w:p>
        </w:tc>
        <w:tc>
          <w:tcPr>
            <w:tcW w:w="1297" w:type="dxa"/>
            <w:shd w:val="clear" w:color="auto" w:fill="FFFFFF"/>
            <w:vAlign w:val="center"/>
          </w:tcPr>
          <w:p w14:paraId="4BCFD999" w14:textId="77777777" w:rsidR="005735D6" w:rsidRPr="00B662B3" w:rsidRDefault="005735D6" w:rsidP="00FA215E">
            <w:pPr>
              <w:widowControl/>
              <w:jc w:val="center"/>
              <w:rPr>
                <w:b/>
                <w:kern w:val="0"/>
                <w:sz w:val="24"/>
              </w:rPr>
            </w:pPr>
            <w:r w:rsidRPr="00B662B3">
              <w:rPr>
                <w:b/>
                <w:kern w:val="0"/>
                <w:sz w:val="24"/>
              </w:rPr>
              <w:t>关联人</w:t>
            </w:r>
          </w:p>
        </w:tc>
        <w:tc>
          <w:tcPr>
            <w:tcW w:w="1113" w:type="dxa"/>
            <w:shd w:val="clear" w:color="auto" w:fill="FFFFFF"/>
            <w:vAlign w:val="center"/>
          </w:tcPr>
          <w:p w14:paraId="7FDBA9C1" w14:textId="77777777" w:rsidR="005735D6" w:rsidRPr="00B662B3" w:rsidRDefault="005735D6" w:rsidP="00FA215E">
            <w:pPr>
              <w:widowControl/>
              <w:jc w:val="center"/>
              <w:rPr>
                <w:b/>
                <w:kern w:val="0"/>
                <w:sz w:val="24"/>
              </w:rPr>
            </w:pPr>
            <w:r w:rsidRPr="00B662B3">
              <w:rPr>
                <w:b/>
                <w:kern w:val="0"/>
                <w:sz w:val="24"/>
              </w:rPr>
              <w:t>本次预计金额</w:t>
            </w:r>
          </w:p>
        </w:tc>
        <w:tc>
          <w:tcPr>
            <w:tcW w:w="828" w:type="dxa"/>
            <w:shd w:val="clear" w:color="auto" w:fill="FFFFFF"/>
            <w:vAlign w:val="center"/>
          </w:tcPr>
          <w:p w14:paraId="290C55E3" w14:textId="77777777" w:rsidR="005735D6" w:rsidRPr="00B662B3" w:rsidRDefault="005735D6" w:rsidP="00CF5A1E">
            <w:pPr>
              <w:widowControl/>
              <w:rPr>
                <w:b/>
                <w:kern w:val="0"/>
                <w:sz w:val="24"/>
              </w:rPr>
            </w:pPr>
            <w:r w:rsidRPr="00B662B3">
              <w:rPr>
                <w:b/>
                <w:kern w:val="0"/>
                <w:sz w:val="24"/>
              </w:rPr>
              <w:t>占同类业务比例（</w:t>
            </w:r>
            <w:r w:rsidRPr="00B662B3">
              <w:rPr>
                <w:b/>
                <w:kern w:val="0"/>
                <w:sz w:val="24"/>
              </w:rPr>
              <w:t>%</w:t>
            </w:r>
            <w:r w:rsidRPr="00B662B3">
              <w:rPr>
                <w:b/>
                <w:kern w:val="0"/>
                <w:sz w:val="24"/>
              </w:rPr>
              <w:t>）</w:t>
            </w:r>
          </w:p>
        </w:tc>
        <w:tc>
          <w:tcPr>
            <w:tcW w:w="1179" w:type="dxa"/>
            <w:shd w:val="clear" w:color="auto" w:fill="FFFFFF"/>
            <w:vAlign w:val="center"/>
          </w:tcPr>
          <w:p w14:paraId="5947BA35" w14:textId="123E4D94" w:rsidR="005735D6" w:rsidRPr="00B662B3" w:rsidRDefault="005735D6" w:rsidP="00CF5A1E">
            <w:pPr>
              <w:widowControl/>
              <w:rPr>
                <w:b/>
                <w:kern w:val="0"/>
                <w:sz w:val="24"/>
              </w:rPr>
            </w:pPr>
            <w:r w:rsidRPr="00B662B3">
              <w:rPr>
                <w:b/>
                <w:kern w:val="0"/>
                <w:sz w:val="24"/>
              </w:rPr>
              <w:t>本年年初至</w:t>
            </w:r>
            <w:r w:rsidR="00CF5A1E" w:rsidRPr="00B662B3">
              <w:rPr>
                <w:b/>
                <w:kern w:val="0"/>
                <w:sz w:val="24"/>
              </w:rPr>
              <w:t>202</w:t>
            </w:r>
            <w:r w:rsidR="0033456B">
              <w:rPr>
                <w:rFonts w:hint="eastAsia"/>
                <w:b/>
                <w:kern w:val="0"/>
                <w:sz w:val="24"/>
              </w:rPr>
              <w:t>1</w:t>
            </w:r>
            <w:r w:rsidR="00CF5A1E" w:rsidRPr="00B662B3">
              <w:rPr>
                <w:b/>
                <w:kern w:val="0"/>
                <w:sz w:val="24"/>
              </w:rPr>
              <w:t>年</w:t>
            </w:r>
            <w:r w:rsidR="00F40EB8">
              <w:rPr>
                <w:rFonts w:hint="eastAsia"/>
                <w:b/>
                <w:kern w:val="0"/>
                <w:sz w:val="24"/>
              </w:rPr>
              <w:t>2</w:t>
            </w:r>
            <w:r w:rsidR="00CF5A1E" w:rsidRPr="00B662B3">
              <w:rPr>
                <w:b/>
                <w:kern w:val="0"/>
                <w:sz w:val="24"/>
              </w:rPr>
              <w:t>月</w:t>
            </w:r>
            <w:r w:rsidR="00F40EB8">
              <w:rPr>
                <w:rFonts w:hint="eastAsia"/>
                <w:b/>
                <w:kern w:val="0"/>
                <w:sz w:val="24"/>
              </w:rPr>
              <w:t>2</w:t>
            </w:r>
            <w:r w:rsidR="0033456B">
              <w:rPr>
                <w:rFonts w:hint="eastAsia"/>
                <w:b/>
                <w:kern w:val="0"/>
                <w:sz w:val="24"/>
              </w:rPr>
              <w:t>8</w:t>
            </w:r>
            <w:r w:rsidR="00CF5A1E" w:rsidRPr="00B662B3">
              <w:rPr>
                <w:b/>
                <w:kern w:val="0"/>
                <w:sz w:val="24"/>
              </w:rPr>
              <w:t>日</w:t>
            </w:r>
            <w:r w:rsidRPr="00B662B3">
              <w:rPr>
                <w:b/>
                <w:kern w:val="0"/>
                <w:sz w:val="24"/>
              </w:rPr>
              <w:t>与关联人累计已发生的交易金额</w:t>
            </w:r>
          </w:p>
        </w:tc>
        <w:tc>
          <w:tcPr>
            <w:tcW w:w="941" w:type="dxa"/>
            <w:shd w:val="clear" w:color="auto" w:fill="FFFFFF"/>
            <w:vAlign w:val="center"/>
          </w:tcPr>
          <w:p w14:paraId="2FBF6DCE" w14:textId="77777777" w:rsidR="005735D6" w:rsidRPr="00B662B3" w:rsidRDefault="005735D6" w:rsidP="00FA215E">
            <w:pPr>
              <w:widowControl/>
              <w:jc w:val="center"/>
              <w:rPr>
                <w:b/>
                <w:kern w:val="0"/>
                <w:sz w:val="24"/>
              </w:rPr>
            </w:pPr>
            <w:r w:rsidRPr="00B662B3">
              <w:rPr>
                <w:b/>
                <w:kern w:val="0"/>
                <w:sz w:val="24"/>
              </w:rPr>
              <w:t>上年实际发生金额</w:t>
            </w:r>
          </w:p>
        </w:tc>
        <w:tc>
          <w:tcPr>
            <w:tcW w:w="900" w:type="dxa"/>
            <w:shd w:val="clear" w:color="auto" w:fill="FFFFFF"/>
            <w:vAlign w:val="center"/>
          </w:tcPr>
          <w:p w14:paraId="5DE4368D" w14:textId="77777777" w:rsidR="005735D6" w:rsidRPr="00B662B3" w:rsidRDefault="005735D6" w:rsidP="00FA215E">
            <w:pPr>
              <w:widowControl/>
              <w:rPr>
                <w:b/>
                <w:kern w:val="0"/>
                <w:sz w:val="24"/>
              </w:rPr>
            </w:pPr>
            <w:r w:rsidRPr="00B662B3">
              <w:rPr>
                <w:b/>
                <w:kern w:val="0"/>
                <w:sz w:val="24"/>
              </w:rPr>
              <w:t>占同类业务比例（％）</w:t>
            </w:r>
          </w:p>
        </w:tc>
        <w:tc>
          <w:tcPr>
            <w:tcW w:w="1326" w:type="dxa"/>
            <w:shd w:val="clear" w:color="auto" w:fill="FFFFFF"/>
            <w:vAlign w:val="center"/>
          </w:tcPr>
          <w:p w14:paraId="170D9A57" w14:textId="77777777" w:rsidR="005735D6" w:rsidRPr="00B662B3" w:rsidRDefault="005735D6" w:rsidP="00CF5A1E">
            <w:pPr>
              <w:widowControl/>
              <w:rPr>
                <w:b/>
                <w:kern w:val="0"/>
                <w:sz w:val="24"/>
              </w:rPr>
            </w:pPr>
            <w:r w:rsidRPr="00B662B3">
              <w:rPr>
                <w:b/>
                <w:kern w:val="0"/>
                <w:sz w:val="24"/>
              </w:rPr>
              <w:t>本次预计金额与上年实际发生金额差异较大的原因</w:t>
            </w:r>
          </w:p>
        </w:tc>
      </w:tr>
      <w:tr w:rsidR="009640E9" w:rsidRPr="00B662B3" w14:paraId="29CFEF3E" w14:textId="77777777" w:rsidTr="00212E44">
        <w:trPr>
          <w:trHeight w:val="340"/>
        </w:trPr>
        <w:tc>
          <w:tcPr>
            <w:tcW w:w="938" w:type="dxa"/>
            <w:vMerge w:val="restart"/>
            <w:shd w:val="clear" w:color="auto" w:fill="auto"/>
            <w:vAlign w:val="center"/>
          </w:tcPr>
          <w:p w14:paraId="4F1F9294" w14:textId="77777777" w:rsidR="009640E9" w:rsidRPr="00B662B3" w:rsidRDefault="009640E9" w:rsidP="00CF5A1E">
            <w:pPr>
              <w:widowControl/>
              <w:jc w:val="left"/>
              <w:rPr>
                <w:kern w:val="0"/>
                <w:sz w:val="24"/>
              </w:rPr>
            </w:pPr>
            <w:r w:rsidRPr="00B662B3">
              <w:rPr>
                <w:kern w:val="0"/>
                <w:sz w:val="24"/>
              </w:rPr>
              <w:lastRenderedPageBreak/>
              <w:t>向关联人销售产品、商品</w:t>
            </w:r>
          </w:p>
        </w:tc>
        <w:tc>
          <w:tcPr>
            <w:tcW w:w="1297" w:type="dxa"/>
            <w:shd w:val="clear" w:color="auto" w:fill="auto"/>
            <w:vAlign w:val="center"/>
          </w:tcPr>
          <w:p w14:paraId="09470C83" w14:textId="77777777" w:rsidR="009640E9" w:rsidRPr="00B662B3" w:rsidRDefault="009640E9" w:rsidP="00B662B3">
            <w:pPr>
              <w:widowControl/>
              <w:rPr>
                <w:kern w:val="0"/>
                <w:sz w:val="24"/>
              </w:rPr>
            </w:pPr>
            <w:r w:rsidRPr="00B662B3">
              <w:rPr>
                <w:kern w:val="0"/>
                <w:sz w:val="24"/>
              </w:rPr>
              <w:t>深圳市万睿智能科技有限公司</w:t>
            </w:r>
          </w:p>
        </w:tc>
        <w:tc>
          <w:tcPr>
            <w:tcW w:w="1113" w:type="dxa"/>
            <w:shd w:val="clear" w:color="auto" w:fill="auto"/>
            <w:noWrap/>
            <w:vAlign w:val="center"/>
          </w:tcPr>
          <w:p w14:paraId="05B7C1C7" w14:textId="73EF7181" w:rsidR="009640E9" w:rsidRPr="00B662B3" w:rsidRDefault="009640E9" w:rsidP="00CF5A1E">
            <w:pPr>
              <w:widowControl/>
              <w:jc w:val="center"/>
              <w:rPr>
                <w:kern w:val="0"/>
                <w:sz w:val="24"/>
              </w:rPr>
            </w:pPr>
            <w:r>
              <w:rPr>
                <w:rFonts w:hint="eastAsia"/>
                <w:kern w:val="0"/>
                <w:sz w:val="24"/>
              </w:rPr>
              <w:t>5000</w:t>
            </w:r>
          </w:p>
        </w:tc>
        <w:tc>
          <w:tcPr>
            <w:tcW w:w="828" w:type="dxa"/>
            <w:shd w:val="clear" w:color="auto" w:fill="auto"/>
            <w:noWrap/>
            <w:vAlign w:val="center"/>
          </w:tcPr>
          <w:p w14:paraId="7591AE01" w14:textId="4E5E704D" w:rsidR="009640E9" w:rsidRPr="00B662B3" w:rsidRDefault="009640E9" w:rsidP="00CF5A1E">
            <w:pPr>
              <w:widowControl/>
              <w:jc w:val="left"/>
              <w:rPr>
                <w:kern w:val="0"/>
                <w:sz w:val="24"/>
              </w:rPr>
            </w:pPr>
            <w:r>
              <w:rPr>
                <w:rFonts w:hint="eastAsia"/>
                <w:kern w:val="0"/>
                <w:sz w:val="24"/>
              </w:rPr>
              <w:t>3.85%-5%</w:t>
            </w:r>
          </w:p>
        </w:tc>
        <w:tc>
          <w:tcPr>
            <w:tcW w:w="1179" w:type="dxa"/>
            <w:shd w:val="clear" w:color="auto" w:fill="auto"/>
            <w:noWrap/>
            <w:vAlign w:val="center"/>
          </w:tcPr>
          <w:p w14:paraId="70CD5DD6" w14:textId="098F867A" w:rsidR="009640E9" w:rsidRPr="00B662B3" w:rsidRDefault="009640E9" w:rsidP="00CF5A1E">
            <w:pPr>
              <w:widowControl/>
              <w:overflowPunct w:val="0"/>
              <w:jc w:val="center"/>
              <w:rPr>
                <w:kern w:val="0"/>
                <w:sz w:val="24"/>
              </w:rPr>
            </w:pPr>
            <w:r>
              <w:rPr>
                <w:rFonts w:hint="eastAsia"/>
                <w:kern w:val="0"/>
                <w:sz w:val="24"/>
              </w:rPr>
              <w:t>59.73</w:t>
            </w:r>
          </w:p>
        </w:tc>
        <w:tc>
          <w:tcPr>
            <w:tcW w:w="941" w:type="dxa"/>
            <w:shd w:val="clear" w:color="auto" w:fill="auto"/>
            <w:noWrap/>
            <w:vAlign w:val="center"/>
          </w:tcPr>
          <w:p w14:paraId="1195D627" w14:textId="0DC3B5E0" w:rsidR="009640E9" w:rsidRPr="00B662B3" w:rsidRDefault="00A02431" w:rsidP="00CF5A1E">
            <w:pPr>
              <w:widowControl/>
              <w:overflowPunct w:val="0"/>
              <w:jc w:val="center"/>
              <w:rPr>
                <w:kern w:val="0"/>
                <w:sz w:val="24"/>
              </w:rPr>
            </w:pPr>
            <w:r>
              <w:rPr>
                <w:rFonts w:hint="eastAsia"/>
                <w:kern w:val="0"/>
                <w:sz w:val="24"/>
              </w:rPr>
              <w:t>307.58</w:t>
            </w:r>
          </w:p>
        </w:tc>
        <w:tc>
          <w:tcPr>
            <w:tcW w:w="900" w:type="dxa"/>
            <w:shd w:val="clear" w:color="auto" w:fill="auto"/>
            <w:noWrap/>
            <w:vAlign w:val="center"/>
          </w:tcPr>
          <w:p w14:paraId="3C454FF0" w14:textId="307472EE" w:rsidR="009640E9" w:rsidRPr="00B662B3" w:rsidRDefault="00A02431" w:rsidP="00CF5A1E">
            <w:pPr>
              <w:widowControl/>
              <w:overflowPunct w:val="0"/>
              <w:jc w:val="center"/>
              <w:rPr>
                <w:kern w:val="0"/>
                <w:sz w:val="24"/>
              </w:rPr>
            </w:pPr>
            <w:r>
              <w:rPr>
                <w:rFonts w:hint="eastAsia"/>
                <w:kern w:val="0"/>
                <w:sz w:val="24"/>
              </w:rPr>
              <w:t>0.53%</w:t>
            </w:r>
          </w:p>
        </w:tc>
        <w:tc>
          <w:tcPr>
            <w:tcW w:w="1326" w:type="dxa"/>
            <w:shd w:val="clear" w:color="auto" w:fill="auto"/>
            <w:noWrap/>
            <w:vAlign w:val="center"/>
          </w:tcPr>
          <w:p w14:paraId="4A1885C0" w14:textId="3AD69342" w:rsidR="009640E9" w:rsidRPr="00B662B3" w:rsidRDefault="00A02431" w:rsidP="00CF5A1E">
            <w:pPr>
              <w:widowControl/>
              <w:overflowPunct w:val="0"/>
              <w:rPr>
                <w:kern w:val="0"/>
                <w:sz w:val="24"/>
              </w:rPr>
            </w:pPr>
            <w:r>
              <w:rPr>
                <w:rFonts w:hint="eastAsia"/>
                <w:kern w:val="0"/>
                <w:sz w:val="24"/>
              </w:rPr>
              <w:t>关联方业务需要预计</w:t>
            </w:r>
            <w:r>
              <w:rPr>
                <w:rFonts w:hint="eastAsia"/>
                <w:kern w:val="0"/>
                <w:sz w:val="24"/>
              </w:rPr>
              <w:t>2021</w:t>
            </w:r>
            <w:r>
              <w:rPr>
                <w:rFonts w:hint="eastAsia"/>
                <w:kern w:val="0"/>
                <w:sz w:val="24"/>
              </w:rPr>
              <w:t>年采购额增加</w:t>
            </w:r>
          </w:p>
        </w:tc>
      </w:tr>
      <w:tr w:rsidR="009640E9" w:rsidRPr="00B662B3" w14:paraId="70C915D9" w14:textId="77777777" w:rsidTr="00212E44">
        <w:trPr>
          <w:trHeight w:val="340"/>
        </w:trPr>
        <w:tc>
          <w:tcPr>
            <w:tcW w:w="938" w:type="dxa"/>
            <w:vMerge/>
            <w:vAlign w:val="center"/>
          </w:tcPr>
          <w:p w14:paraId="2919E4DB" w14:textId="77777777" w:rsidR="009640E9" w:rsidRPr="00B662B3" w:rsidRDefault="009640E9" w:rsidP="00CF5A1E">
            <w:pPr>
              <w:widowControl/>
              <w:jc w:val="left"/>
              <w:rPr>
                <w:kern w:val="0"/>
                <w:sz w:val="24"/>
              </w:rPr>
            </w:pPr>
          </w:p>
        </w:tc>
        <w:tc>
          <w:tcPr>
            <w:tcW w:w="1297" w:type="dxa"/>
            <w:shd w:val="clear" w:color="auto" w:fill="auto"/>
            <w:vAlign w:val="center"/>
          </w:tcPr>
          <w:p w14:paraId="616D7C66" w14:textId="77777777" w:rsidR="009640E9" w:rsidRPr="00B662B3" w:rsidRDefault="009640E9" w:rsidP="00B662B3">
            <w:pPr>
              <w:widowControl/>
              <w:rPr>
                <w:kern w:val="0"/>
                <w:sz w:val="24"/>
              </w:rPr>
            </w:pPr>
            <w:r w:rsidRPr="00B662B3">
              <w:rPr>
                <w:kern w:val="0"/>
                <w:sz w:val="24"/>
              </w:rPr>
              <w:t>深圳市赛格导航科技股份有限公司</w:t>
            </w:r>
          </w:p>
        </w:tc>
        <w:tc>
          <w:tcPr>
            <w:tcW w:w="1113" w:type="dxa"/>
            <w:shd w:val="clear" w:color="auto" w:fill="auto"/>
            <w:noWrap/>
            <w:vAlign w:val="center"/>
          </w:tcPr>
          <w:p w14:paraId="404A42E6" w14:textId="1D4C5A5A" w:rsidR="009640E9" w:rsidRPr="00B662B3" w:rsidRDefault="009640E9" w:rsidP="00CF5A1E">
            <w:pPr>
              <w:widowControl/>
              <w:jc w:val="center"/>
              <w:rPr>
                <w:kern w:val="0"/>
                <w:sz w:val="24"/>
              </w:rPr>
            </w:pPr>
            <w:r>
              <w:rPr>
                <w:rFonts w:hint="eastAsia"/>
                <w:kern w:val="0"/>
                <w:sz w:val="24"/>
              </w:rPr>
              <w:t>500</w:t>
            </w:r>
          </w:p>
        </w:tc>
        <w:tc>
          <w:tcPr>
            <w:tcW w:w="828" w:type="dxa"/>
            <w:shd w:val="clear" w:color="auto" w:fill="auto"/>
            <w:noWrap/>
            <w:vAlign w:val="center"/>
          </w:tcPr>
          <w:p w14:paraId="7BF55654" w14:textId="4B07440C" w:rsidR="009640E9" w:rsidRPr="00B662B3" w:rsidRDefault="009640E9" w:rsidP="00CF5A1E">
            <w:pPr>
              <w:widowControl/>
              <w:jc w:val="left"/>
              <w:rPr>
                <w:kern w:val="0"/>
                <w:sz w:val="24"/>
              </w:rPr>
            </w:pPr>
            <w:r>
              <w:rPr>
                <w:rFonts w:hint="eastAsia"/>
                <w:kern w:val="0"/>
                <w:sz w:val="24"/>
              </w:rPr>
              <w:t>0.38%-0.5%</w:t>
            </w:r>
          </w:p>
        </w:tc>
        <w:tc>
          <w:tcPr>
            <w:tcW w:w="1179" w:type="dxa"/>
            <w:shd w:val="clear" w:color="auto" w:fill="auto"/>
            <w:noWrap/>
            <w:vAlign w:val="center"/>
          </w:tcPr>
          <w:p w14:paraId="0DFDE07C" w14:textId="2948F9FB" w:rsidR="009640E9" w:rsidRPr="00B662B3" w:rsidRDefault="00A02431" w:rsidP="00CF5A1E">
            <w:pPr>
              <w:widowControl/>
              <w:overflowPunct w:val="0"/>
              <w:jc w:val="center"/>
              <w:rPr>
                <w:kern w:val="0"/>
                <w:sz w:val="24"/>
              </w:rPr>
            </w:pPr>
            <w:r>
              <w:rPr>
                <w:rFonts w:hint="eastAsia"/>
                <w:kern w:val="0"/>
                <w:sz w:val="24"/>
              </w:rPr>
              <w:t>0</w:t>
            </w:r>
          </w:p>
        </w:tc>
        <w:tc>
          <w:tcPr>
            <w:tcW w:w="941" w:type="dxa"/>
            <w:shd w:val="clear" w:color="auto" w:fill="auto"/>
            <w:noWrap/>
            <w:vAlign w:val="center"/>
          </w:tcPr>
          <w:p w14:paraId="1B00A62E" w14:textId="77777777" w:rsidR="009640E9" w:rsidRDefault="00A02431" w:rsidP="00CF5A1E">
            <w:pPr>
              <w:widowControl/>
              <w:overflowPunct w:val="0"/>
              <w:jc w:val="center"/>
              <w:rPr>
                <w:kern w:val="0"/>
                <w:sz w:val="24"/>
              </w:rPr>
            </w:pPr>
            <w:r>
              <w:rPr>
                <w:rFonts w:hint="eastAsia"/>
                <w:kern w:val="0"/>
                <w:sz w:val="24"/>
              </w:rPr>
              <w:t>0</w:t>
            </w:r>
          </w:p>
          <w:p w14:paraId="5F99B436" w14:textId="469498AE" w:rsidR="00A02431" w:rsidRPr="00B662B3" w:rsidRDefault="00F70E88" w:rsidP="00CF5A1E">
            <w:pPr>
              <w:widowControl/>
              <w:overflowPunct w:val="0"/>
              <w:jc w:val="center"/>
              <w:rPr>
                <w:kern w:val="0"/>
                <w:sz w:val="24"/>
              </w:rPr>
            </w:pPr>
            <w:r>
              <w:rPr>
                <w:rFonts w:hint="eastAsia"/>
                <w:kern w:val="0"/>
                <w:sz w:val="24"/>
              </w:rPr>
              <w:t>（</w:t>
            </w:r>
            <w:r w:rsidR="00A02431">
              <w:rPr>
                <w:rFonts w:hint="eastAsia"/>
                <w:kern w:val="0"/>
                <w:sz w:val="24"/>
              </w:rPr>
              <w:t>注</w:t>
            </w:r>
            <w:r w:rsidR="00A02431">
              <w:rPr>
                <w:rFonts w:hint="eastAsia"/>
                <w:kern w:val="0"/>
                <w:sz w:val="24"/>
              </w:rPr>
              <w:t>3</w:t>
            </w:r>
            <w:r>
              <w:rPr>
                <w:rFonts w:hint="eastAsia"/>
                <w:kern w:val="0"/>
                <w:sz w:val="24"/>
              </w:rPr>
              <w:t>）</w:t>
            </w:r>
          </w:p>
        </w:tc>
        <w:tc>
          <w:tcPr>
            <w:tcW w:w="900" w:type="dxa"/>
            <w:shd w:val="clear" w:color="auto" w:fill="auto"/>
            <w:noWrap/>
            <w:vAlign w:val="center"/>
          </w:tcPr>
          <w:p w14:paraId="26A35A2E" w14:textId="6BA50ACF" w:rsidR="009640E9" w:rsidRPr="00B662B3" w:rsidRDefault="00A11B95" w:rsidP="00CF5A1E">
            <w:pPr>
              <w:widowControl/>
              <w:overflowPunct w:val="0"/>
              <w:jc w:val="center"/>
              <w:rPr>
                <w:kern w:val="0"/>
                <w:sz w:val="24"/>
              </w:rPr>
            </w:pPr>
            <w:r>
              <w:rPr>
                <w:rFonts w:hint="eastAsia"/>
                <w:kern w:val="0"/>
                <w:sz w:val="24"/>
              </w:rPr>
              <w:t>0</w:t>
            </w:r>
          </w:p>
        </w:tc>
        <w:tc>
          <w:tcPr>
            <w:tcW w:w="1326" w:type="dxa"/>
            <w:shd w:val="clear" w:color="auto" w:fill="auto"/>
            <w:noWrap/>
            <w:vAlign w:val="center"/>
          </w:tcPr>
          <w:p w14:paraId="63C75307" w14:textId="0A8C87C3" w:rsidR="009640E9" w:rsidRPr="00B662B3" w:rsidRDefault="00A02431" w:rsidP="00CF5A1E">
            <w:pPr>
              <w:widowControl/>
              <w:overflowPunct w:val="0"/>
              <w:rPr>
                <w:kern w:val="0"/>
                <w:sz w:val="24"/>
              </w:rPr>
            </w:pPr>
            <w:r>
              <w:rPr>
                <w:rFonts w:hint="eastAsia"/>
                <w:kern w:val="0"/>
                <w:sz w:val="24"/>
              </w:rPr>
              <w:t>关联方业务需要预计</w:t>
            </w:r>
            <w:r>
              <w:rPr>
                <w:rFonts w:hint="eastAsia"/>
                <w:kern w:val="0"/>
                <w:sz w:val="24"/>
              </w:rPr>
              <w:t>2021</w:t>
            </w:r>
            <w:r>
              <w:rPr>
                <w:rFonts w:hint="eastAsia"/>
                <w:kern w:val="0"/>
                <w:sz w:val="24"/>
              </w:rPr>
              <w:t>年采购额增加</w:t>
            </w:r>
          </w:p>
        </w:tc>
      </w:tr>
      <w:tr w:rsidR="009640E9" w:rsidRPr="00B662B3" w14:paraId="3A300DE4" w14:textId="77777777" w:rsidTr="00212E44">
        <w:trPr>
          <w:trHeight w:val="340"/>
        </w:trPr>
        <w:tc>
          <w:tcPr>
            <w:tcW w:w="938" w:type="dxa"/>
            <w:vMerge/>
            <w:vAlign w:val="center"/>
          </w:tcPr>
          <w:p w14:paraId="2B4B2E45" w14:textId="77777777" w:rsidR="009640E9" w:rsidRPr="00B662B3" w:rsidRDefault="009640E9" w:rsidP="00CF5A1E">
            <w:pPr>
              <w:widowControl/>
              <w:jc w:val="left"/>
              <w:rPr>
                <w:kern w:val="0"/>
                <w:sz w:val="24"/>
              </w:rPr>
            </w:pPr>
          </w:p>
        </w:tc>
        <w:tc>
          <w:tcPr>
            <w:tcW w:w="1297" w:type="dxa"/>
            <w:shd w:val="clear" w:color="auto" w:fill="auto"/>
            <w:vAlign w:val="center"/>
          </w:tcPr>
          <w:p w14:paraId="7E3AD5F8" w14:textId="7E035C2C" w:rsidR="009640E9" w:rsidRPr="00B662B3" w:rsidRDefault="009640E9" w:rsidP="00B662B3">
            <w:pPr>
              <w:widowControl/>
              <w:rPr>
                <w:kern w:val="0"/>
                <w:sz w:val="24"/>
              </w:rPr>
            </w:pPr>
            <w:r w:rsidRPr="009640E9">
              <w:rPr>
                <w:rFonts w:hint="eastAsia"/>
                <w:kern w:val="0"/>
                <w:sz w:val="24"/>
              </w:rPr>
              <w:t>西安迅腾科技有限责任公司</w:t>
            </w:r>
          </w:p>
        </w:tc>
        <w:tc>
          <w:tcPr>
            <w:tcW w:w="1113" w:type="dxa"/>
            <w:shd w:val="clear" w:color="auto" w:fill="auto"/>
            <w:noWrap/>
            <w:vAlign w:val="center"/>
          </w:tcPr>
          <w:p w14:paraId="322F812F" w14:textId="52282FD1" w:rsidR="009640E9" w:rsidRPr="00B662B3" w:rsidRDefault="009640E9" w:rsidP="00CF5A1E">
            <w:pPr>
              <w:widowControl/>
              <w:jc w:val="center"/>
              <w:rPr>
                <w:kern w:val="0"/>
                <w:sz w:val="24"/>
              </w:rPr>
            </w:pPr>
            <w:r>
              <w:rPr>
                <w:rFonts w:hint="eastAsia"/>
                <w:kern w:val="0"/>
                <w:sz w:val="24"/>
              </w:rPr>
              <w:t>100</w:t>
            </w:r>
          </w:p>
        </w:tc>
        <w:tc>
          <w:tcPr>
            <w:tcW w:w="828" w:type="dxa"/>
            <w:shd w:val="clear" w:color="auto" w:fill="auto"/>
            <w:noWrap/>
            <w:vAlign w:val="center"/>
          </w:tcPr>
          <w:p w14:paraId="637BA5BD" w14:textId="529F4ED0" w:rsidR="009640E9" w:rsidRPr="00B662B3" w:rsidRDefault="009640E9" w:rsidP="00CF5A1E">
            <w:pPr>
              <w:widowControl/>
              <w:jc w:val="left"/>
              <w:rPr>
                <w:kern w:val="0"/>
                <w:sz w:val="24"/>
              </w:rPr>
            </w:pPr>
            <w:r>
              <w:rPr>
                <w:rFonts w:hint="eastAsia"/>
                <w:kern w:val="0"/>
                <w:sz w:val="24"/>
              </w:rPr>
              <w:t>0.08%-0.1%</w:t>
            </w:r>
          </w:p>
        </w:tc>
        <w:tc>
          <w:tcPr>
            <w:tcW w:w="1179" w:type="dxa"/>
            <w:shd w:val="clear" w:color="auto" w:fill="auto"/>
            <w:noWrap/>
            <w:vAlign w:val="center"/>
          </w:tcPr>
          <w:p w14:paraId="1992304F" w14:textId="6FAAE13B" w:rsidR="009640E9" w:rsidRPr="00B662B3" w:rsidRDefault="00A02431" w:rsidP="00CF5A1E">
            <w:pPr>
              <w:widowControl/>
              <w:overflowPunct w:val="0"/>
              <w:jc w:val="center"/>
              <w:rPr>
                <w:kern w:val="0"/>
                <w:sz w:val="24"/>
              </w:rPr>
            </w:pPr>
            <w:r>
              <w:rPr>
                <w:rFonts w:hint="eastAsia"/>
                <w:kern w:val="0"/>
                <w:sz w:val="24"/>
              </w:rPr>
              <w:t>0</w:t>
            </w:r>
          </w:p>
        </w:tc>
        <w:tc>
          <w:tcPr>
            <w:tcW w:w="941" w:type="dxa"/>
            <w:shd w:val="clear" w:color="auto" w:fill="auto"/>
            <w:noWrap/>
            <w:vAlign w:val="center"/>
          </w:tcPr>
          <w:p w14:paraId="185408B7" w14:textId="05250F03" w:rsidR="009640E9" w:rsidRPr="00B662B3" w:rsidRDefault="00A11B95" w:rsidP="00CF5A1E">
            <w:pPr>
              <w:widowControl/>
              <w:overflowPunct w:val="0"/>
              <w:jc w:val="center"/>
              <w:rPr>
                <w:kern w:val="0"/>
                <w:sz w:val="24"/>
              </w:rPr>
            </w:pPr>
            <w:r>
              <w:rPr>
                <w:rFonts w:hint="eastAsia"/>
                <w:kern w:val="0"/>
                <w:sz w:val="24"/>
              </w:rPr>
              <w:t>7.43%</w:t>
            </w:r>
          </w:p>
        </w:tc>
        <w:tc>
          <w:tcPr>
            <w:tcW w:w="900" w:type="dxa"/>
            <w:shd w:val="clear" w:color="auto" w:fill="auto"/>
            <w:noWrap/>
            <w:vAlign w:val="center"/>
          </w:tcPr>
          <w:p w14:paraId="6ADF08EE" w14:textId="4FC5C4DF" w:rsidR="009640E9" w:rsidRPr="00B662B3" w:rsidRDefault="00A11B95" w:rsidP="00CF5A1E">
            <w:pPr>
              <w:widowControl/>
              <w:overflowPunct w:val="0"/>
              <w:jc w:val="center"/>
              <w:rPr>
                <w:kern w:val="0"/>
                <w:sz w:val="24"/>
              </w:rPr>
            </w:pPr>
            <w:r>
              <w:rPr>
                <w:rFonts w:hint="eastAsia"/>
                <w:kern w:val="0"/>
                <w:sz w:val="24"/>
              </w:rPr>
              <w:t>0.01</w:t>
            </w:r>
          </w:p>
        </w:tc>
        <w:tc>
          <w:tcPr>
            <w:tcW w:w="1326" w:type="dxa"/>
            <w:shd w:val="clear" w:color="auto" w:fill="auto"/>
            <w:noWrap/>
            <w:vAlign w:val="center"/>
          </w:tcPr>
          <w:p w14:paraId="09667200" w14:textId="4C40F60B" w:rsidR="009640E9" w:rsidRPr="00B662B3" w:rsidRDefault="00A02431" w:rsidP="00CF5A1E">
            <w:pPr>
              <w:widowControl/>
              <w:overflowPunct w:val="0"/>
              <w:rPr>
                <w:kern w:val="0"/>
                <w:sz w:val="24"/>
              </w:rPr>
            </w:pPr>
            <w:r>
              <w:rPr>
                <w:rFonts w:hint="eastAsia"/>
                <w:kern w:val="0"/>
                <w:sz w:val="24"/>
              </w:rPr>
              <w:t>关联方业务需要预计</w:t>
            </w:r>
            <w:r>
              <w:rPr>
                <w:rFonts w:hint="eastAsia"/>
                <w:kern w:val="0"/>
                <w:sz w:val="24"/>
              </w:rPr>
              <w:t>2021</w:t>
            </w:r>
            <w:r>
              <w:rPr>
                <w:rFonts w:hint="eastAsia"/>
                <w:kern w:val="0"/>
                <w:sz w:val="24"/>
              </w:rPr>
              <w:t>年采购额增加</w:t>
            </w:r>
          </w:p>
        </w:tc>
      </w:tr>
      <w:tr w:rsidR="002D3F86" w:rsidRPr="00B662B3" w14:paraId="0B0D1D7D" w14:textId="77777777" w:rsidTr="00212E44">
        <w:trPr>
          <w:trHeight w:val="340"/>
        </w:trPr>
        <w:tc>
          <w:tcPr>
            <w:tcW w:w="2235" w:type="dxa"/>
            <w:gridSpan w:val="2"/>
            <w:shd w:val="clear" w:color="auto" w:fill="auto"/>
            <w:noWrap/>
            <w:vAlign w:val="center"/>
          </w:tcPr>
          <w:p w14:paraId="6D580BA8" w14:textId="77777777" w:rsidR="002D3F86" w:rsidRPr="00B662B3" w:rsidRDefault="002D3F86" w:rsidP="002D3F86">
            <w:pPr>
              <w:widowControl/>
              <w:jc w:val="center"/>
              <w:rPr>
                <w:kern w:val="0"/>
                <w:sz w:val="24"/>
              </w:rPr>
            </w:pPr>
            <w:r w:rsidRPr="00B662B3">
              <w:rPr>
                <w:kern w:val="0"/>
                <w:sz w:val="24"/>
              </w:rPr>
              <w:t>合计</w:t>
            </w:r>
          </w:p>
        </w:tc>
        <w:tc>
          <w:tcPr>
            <w:tcW w:w="1113" w:type="dxa"/>
            <w:shd w:val="clear" w:color="auto" w:fill="auto"/>
            <w:noWrap/>
            <w:vAlign w:val="center"/>
          </w:tcPr>
          <w:p w14:paraId="65C42689" w14:textId="5A010C1A" w:rsidR="002D3F86" w:rsidRPr="00B662B3" w:rsidRDefault="00A11B95" w:rsidP="00CF5A1E">
            <w:pPr>
              <w:widowControl/>
              <w:jc w:val="center"/>
              <w:rPr>
                <w:kern w:val="0"/>
                <w:sz w:val="24"/>
              </w:rPr>
            </w:pPr>
            <w:r>
              <w:rPr>
                <w:rFonts w:hint="eastAsia"/>
                <w:kern w:val="0"/>
                <w:sz w:val="24"/>
              </w:rPr>
              <w:t>5</w:t>
            </w:r>
            <w:r>
              <w:rPr>
                <w:kern w:val="0"/>
                <w:sz w:val="24"/>
              </w:rPr>
              <w:t>,</w:t>
            </w:r>
            <w:r>
              <w:rPr>
                <w:rFonts w:hint="eastAsia"/>
                <w:kern w:val="0"/>
                <w:sz w:val="24"/>
              </w:rPr>
              <w:t>600</w:t>
            </w:r>
          </w:p>
        </w:tc>
        <w:tc>
          <w:tcPr>
            <w:tcW w:w="828" w:type="dxa"/>
            <w:shd w:val="clear" w:color="auto" w:fill="auto"/>
            <w:noWrap/>
            <w:vAlign w:val="center"/>
          </w:tcPr>
          <w:p w14:paraId="31075560" w14:textId="3727706A" w:rsidR="002D3F86" w:rsidRPr="00B662B3" w:rsidRDefault="00A11B95" w:rsidP="00CF5A1E">
            <w:pPr>
              <w:widowControl/>
              <w:jc w:val="center"/>
              <w:rPr>
                <w:kern w:val="0"/>
                <w:sz w:val="24"/>
              </w:rPr>
            </w:pPr>
            <w:r>
              <w:rPr>
                <w:rFonts w:hint="eastAsia"/>
                <w:kern w:val="0"/>
                <w:sz w:val="24"/>
              </w:rPr>
              <w:t>4.31%-5.60%</w:t>
            </w:r>
          </w:p>
        </w:tc>
        <w:tc>
          <w:tcPr>
            <w:tcW w:w="1179" w:type="dxa"/>
            <w:shd w:val="clear" w:color="auto" w:fill="auto"/>
            <w:noWrap/>
            <w:vAlign w:val="center"/>
          </w:tcPr>
          <w:p w14:paraId="0163042B" w14:textId="2BFCA455" w:rsidR="002D3F86" w:rsidRPr="00B662B3" w:rsidRDefault="00A02431" w:rsidP="00CF5A1E">
            <w:pPr>
              <w:widowControl/>
              <w:jc w:val="center"/>
              <w:rPr>
                <w:kern w:val="0"/>
                <w:sz w:val="24"/>
              </w:rPr>
            </w:pPr>
            <w:r>
              <w:rPr>
                <w:rFonts w:hint="eastAsia"/>
                <w:kern w:val="0"/>
                <w:sz w:val="24"/>
              </w:rPr>
              <w:t>59.73</w:t>
            </w:r>
          </w:p>
        </w:tc>
        <w:tc>
          <w:tcPr>
            <w:tcW w:w="941" w:type="dxa"/>
            <w:shd w:val="clear" w:color="auto" w:fill="auto"/>
            <w:noWrap/>
            <w:vAlign w:val="center"/>
          </w:tcPr>
          <w:p w14:paraId="4EA39340" w14:textId="6808EE6C" w:rsidR="002D3F86" w:rsidRPr="00B662B3" w:rsidRDefault="00A11B95" w:rsidP="00CF5A1E">
            <w:pPr>
              <w:widowControl/>
              <w:jc w:val="center"/>
              <w:rPr>
                <w:kern w:val="0"/>
                <w:sz w:val="24"/>
              </w:rPr>
            </w:pPr>
            <w:r>
              <w:rPr>
                <w:rFonts w:hint="eastAsia"/>
                <w:kern w:val="0"/>
                <w:sz w:val="24"/>
              </w:rPr>
              <w:t>315.01</w:t>
            </w:r>
          </w:p>
        </w:tc>
        <w:tc>
          <w:tcPr>
            <w:tcW w:w="900" w:type="dxa"/>
            <w:shd w:val="clear" w:color="auto" w:fill="auto"/>
            <w:noWrap/>
            <w:vAlign w:val="center"/>
          </w:tcPr>
          <w:p w14:paraId="7454EFD7" w14:textId="6C2C45C3" w:rsidR="002D3F86" w:rsidRPr="00B662B3" w:rsidRDefault="00A11B95" w:rsidP="00CF5A1E">
            <w:pPr>
              <w:widowControl/>
              <w:jc w:val="center"/>
              <w:rPr>
                <w:kern w:val="0"/>
                <w:sz w:val="24"/>
              </w:rPr>
            </w:pPr>
            <w:r>
              <w:rPr>
                <w:rFonts w:hint="eastAsia"/>
                <w:kern w:val="0"/>
                <w:sz w:val="24"/>
              </w:rPr>
              <w:t>0.54%</w:t>
            </w:r>
          </w:p>
        </w:tc>
        <w:tc>
          <w:tcPr>
            <w:tcW w:w="1326" w:type="dxa"/>
            <w:shd w:val="clear" w:color="auto" w:fill="auto"/>
            <w:noWrap/>
            <w:vAlign w:val="center"/>
          </w:tcPr>
          <w:p w14:paraId="7981FE7E" w14:textId="797D3B47" w:rsidR="002D3F86" w:rsidRPr="00B662B3" w:rsidRDefault="00A11B95" w:rsidP="00CF5A1E">
            <w:pPr>
              <w:widowControl/>
              <w:jc w:val="center"/>
              <w:rPr>
                <w:kern w:val="0"/>
                <w:sz w:val="24"/>
              </w:rPr>
            </w:pPr>
            <w:r>
              <w:rPr>
                <w:rFonts w:hint="eastAsia"/>
                <w:kern w:val="0"/>
                <w:sz w:val="24"/>
              </w:rPr>
              <w:t>-</w:t>
            </w:r>
          </w:p>
        </w:tc>
      </w:tr>
    </w:tbl>
    <w:p w14:paraId="113105AD" w14:textId="7586F132" w:rsidR="00386E6E" w:rsidRPr="00386E6E" w:rsidRDefault="00386E6E" w:rsidP="00837A17">
      <w:pPr>
        <w:adjustRightInd w:val="0"/>
        <w:spacing w:line="600" w:lineRule="exact"/>
        <w:ind w:firstLineChars="200" w:firstLine="560"/>
        <w:jc w:val="left"/>
        <w:rPr>
          <w:sz w:val="28"/>
          <w:szCs w:val="28"/>
        </w:rPr>
      </w:pPr>
      <w:r>
        <w:rPr>
          <w:rFonts w:hint="eastAsia"/>
          <w:sz w:val="28"/>
          <w:szCs w:val="28"/>
        </w:rPr>
        <w:t>注：</w:t>
      </w:r>
      <w:r>
        <w:rPr>
          <w:rFonts w:hint="eastAsia"/>
          <w:sz w:val="28"/>
          <w:szCs w:val="28"/>
        </w:rPr>
        <w:t>1</w:t>
      </w:r>
      <w:r>
        <w:rPr>
          <w:rFonts w:hint="eastAsia"/>
          <w:sz w:val="28"/>
          <w:szCs w:val="28"/>
        </w:rPr>
        <w:t>、以上数据未经审计；</w:t>
      </w:r>
      <w:r>
        <w:rPr>
          <w:rFonts w:hint="eastAsia"/>
          <w:sz w:val="28"/>
          <w:szCs w:val="28"/>
        </w:rPr>
        <w:t>2</w:t>
      </w:r>
      <w:r>
        <w:rPr>
          <w:rFonts w:hint="eastAsia"/>
          <w:sz w:val="28"/>
          <w:szCs w:val="28"/>
        </w:rPr>
        <w:t>、同类业务系指公司</w:t>
      </w:r>
      <w:r w:rsidR="00EB6498">
        <w:rPr>
          <w:rFonts w:hint="eastAsia"/>
          <w:sz w:val="28"/>
          <w:szCs w:val="28"/>
        </w:rPr>
        <w:t>提供的物联网无线通信产品</w:t>
      </w:r>
      <w:r w:rsidR="00A02431">
        <w:rPr>
          <w:rFonts w:hint="eastAsia"/>
          <w:sz w:val="28"/>
          <w:szCs w:val="28"/>
        </w:rPr>
        <w:t>；</w:t>
      </w:r>
      <w:r w:rsidR="00A02431">
        <w:rPr>
          <w:rFonts w:hint="eastAsia"/>
          <w:sz w:val="28"/>
          <w:szCs w:val="28"/>
        </w:rPr>
        <w:t>3</w:t>
      </w:r>
      <w:r w:rsidR="00A02431">
        <w:rPr>
          <w:rFonts w:hint="eastAsia"/>
          <w:sz w:val="28"/>
          <w:szCs w:val="28"/>
        </w:rPr>
        <w:t>、</w:t>
      </w:r>
      <w:r w:rsidR="00A11B95" w:rsidRPr="00A11B95">
        <w:rPr>
          <w:rFonts w:hint="eastAsia"/>
          <w:sz w:val="28"/>
          <w:szCs w:val="28"/>
        </w:rPr>
        <w:t>深圳市赛格导航科技股份有限公司</w:t>
      </w:r>
      <w:r w:rsidR="00A11B95">
        <w:rPr>
          <w:rFonts w:hint="eastAsia"/>
          <w:sz w:val="28"/>
          <w:szCs w:val="28"/>
        </w:rPr>
        <w:t>2020</w:t>
      </w:r>
      <w:r w:rsidR="00A11B95">
        <w:rPr>
          <w:rFonts w:hint="eastAsia"/>
          <w:sz w:val="28"/>
          <w:szCs w:val="28"/>
        </w:rPr>
        <w:t>年度通过</w:t>
      </w:r>
      <w:r w:rsidR="002C69B8">
        <w:rPr>
          <w:rFonts w:hint="eastAsia"/>
          <w:sz w:val="28"/>
          <w:szCs w:val="28"/>
        </w:rPr>
        <w:t>经销商</w:t>
      </w:r>
      <w:r w:rsidR="00A11B95">
        <w:rPr>
          <w:rFonts w:hint="eastAsia"/>
          <w:sz w:val="28"/>
          <w:szCs w:val="28"/>
        </w:rPr>
        <w:t>向公司采购，采购金额</w:t>
      </w:r>
      <w:r w:rsidR="00A11B95">
        <w:rPr>
          <w:rFonts w:hint="eastAsia"/>
          <w:sz w:val="28"/>
          <w:szCs w:val="28"/>
        </w:rPr>
        <w:t>127.59</w:t>
      </w:r>
      <w:r w:rsidR="00A11B95">
        <w:rPr>
          <w:rFonts w:hint="eastAsia"/>
          <w:sz w:val="28"/>
          <w:szCs w:val="28"/>
        </w:rPr>
        <w:t>万元。</w:t>
      </w:r>
    </w:p>
    <w:p w14:paraId="20B37958" w14:textId="77777777" w:rsidR="008C5B37" w:rsidRPr="00B662B3" w:rsidRDefault="008C5B37" w:rsidP="00837A17">
      <w:pPr>
        <w:adjustRightInd w:val="0"/>
        <w:spacing w:line="600" w:lineRule="exact"/>
        <w:ind w:firstLineChars="200" w:firstLine="560"/>
        <w:jc w:val="left"/>
        <w:rPr>
          <w:sz w:val="28"/>
          <w:szCs w:val="28"/>
        </w:rPr>
      </w:pPr>
      <w:r w:rsidRPr="00B662B3">
        <w:rPr>
          <w:sz w:val="28"/>
          <w:szCs w:val="28"/>
        </w:rPr>
        <w:t>（</w:t>
      </w:r>
      <w:r w:rsidR="00266EB7" w:rsidRPr="00B662B3">
        <w:rPr>
          <w:sz w:val="28"/>
          <w:szCs w:val="28"/>
        </w:rPr>
        <w:t>三</w:t>
      </w:r>
      <w:r w:rsidRPr="00B662B3">
        <w:rPr>
          <w:sz w:val="28"/>
          <w:szCs w:val="28"/>
        </w:rPr>
        <w:t>）前次日常关联交易的预计和执行情况</w:t>
      </w:r>
    </w:p>
    <w:p w14:paraId="2042E0FD" w14:textId="77777777" w:rsidR="003B5BFD" w:rsidRPr="00B662B3" w:rsidRDefault="003B5BFD" w:rsidP="003B5BFD">
      <w:pPr>
        <w:adjustRightInd w:val="0"/>
        <w:spacing w:line="600" w:lineRule="exact"/>
        <w:ind w:firstLineChars="200" w:firstLine="480"/>
        <w:jc w:val="right"/>
        <w:rPr>
          <w:sz w:val="24"/>
        </w:rPr>
      </w:pPr>
      <w:r w:rsidRPr="00B662B3">
        <w:rPr>
          <w:sz w:val="24"/>
        </w:rPr>
        <w:t>单位：万元</w:t>
      </w:r>
    </w:p>
    <w:tbl>
      <w:tblPr>
        <w:tblW w:w="8427" w:type="dxa"/>
        <w:tblInd w:w="95" w:type="dxa"/>
        <w:tblLook w:val="0000" w:firstRow="0" w:lastRow="0" w:firstColumn="0" w:lastColumn="0" w:noHBand="0" w:noVBand="0"/>
      </w:tblPr>
      <w:tblGrid>
        <w:gridCol w:w="1080"/>
        <w:gridCol w:w="1485"/>
        <w:gridCol w:w="1720"/>
        <w:gridCol w:w="1701"/>
        <w:gridCol w:w="2441"/>
      </w:tblGrid>
      <w:tr w:rsidR="008C5B37" w:rsidRPr="00B662B3" w14:paraId="3CAE5CFD" w14:textId="77777777" w:rsidTr="00156FAC">
        <w:trPr>
          <w:trHeight w:val="340"/>
        </w:trPr>
        <w:tc>
          <w:tcPr>
            <w:tcW w:w="1080" w:type="dxa"/>
            <w:tcBorders>
              <w:top w:val="single" w:sz="12" w:space="0" w:color="auto"/>
              <w:left w:val="single" w:sz="12" w:space="0" w:color="auto"/>
              <w:bottom w:val="single" w:sz="4" w:space="0" w:color="auto"/>
              <w:right w:val="single" w:sz="4" w:space="0" w:color="auto"/>
            </w:tcBorders>
            <w:shd w:val="clear" w:color="auto" w:fill="FFFFFF"/>
            <w:vAlign w:val="center"/>
          </w:tcPr>
          <w:p w14:paraId="40BE1058" w14:textId="77777777" w:rsidR="008C5B37" w:rsidRPr="00B662B3" w:rsidRDefault="008C5B37" w:rsidP="008A1B2F">
            <w:pPr>
              <w:widowControl/>
              <w:jc w:val="center"/>
              <w:rPr>
                <w:b/>
                <w:color w:val="000000"/>
                <w:kern w:val="0"/>
                <w:sz w:val="24"/>
              </w:rPr>
            </w:pPr>
            <w:r w:rsidRPr="00B662B3">
              <w:rPr>
                <w:b/>
                <w:color w:val="000000"/>
                <w:kern w:val="0"/>
                <w:sz w:val="24"/>
              </w:rPr>
              <w:t>关联交易类别</w:t>
            </w:r>
          </w:p>
        </w:tc>
        <w:tc>
          <w:tcPr>
            <w:tcW w:w="1485" w:type="dxa"/>
            <w:tcBorders>
              <w:top w:val="single" w:sz="12" w:space="0" w:color="auto"/>
              <w:left w:val="nil"/>
              <w:bottom w:val="single" w:sz="4" w:space="0" w:color="auto"/>
              <w:right w:val="single" w:sz="4" w:space="0" w:color="auto"/>
            </w:tcBorders>
            <w:shd w:val="clear" w:color="auto" w:fill="FFFFFF"/>
            <w:vAlign w:val="center"/>
          </w:tcPr>
          <w:p w14:paraId="5685CFEB" w14:textId="77777777" w:rsidR="008C5B37" w:rsidRPr="00B662B3" w:rsidRDefault="008C5B37" w:rsidP="008A1B2F">
            <w:pPr>
              <w:widowControl/>
              <w:jc w:val="center"/>
              <w:rPr>
                <w:b/>
                <w:color w:val="000000"/>
                <w:kern w:val="0"/>
                <w:sz w:val="24"/>
              </w:rPr>
            </w:pPr>
            <w:r w:rsidRPr="00B662B3">
              <w:rPr>
                <w:b/>
                <w:color w:val="000000"/>
                <w:kern w:val="0"/>
                <w:sz w:val="24"/>
              </w:rPr>
              <w:t>关联人</w:t>
            </w:r>
          </w:p>
        </w:tc>
        <w:tc>
          <w:tcPr>
            <w:tcW w:w="1720" w:type="dxa"/>
            <w:tcBorders>
              <w:top w:val="single" w:sz="12" w:space="0" w:color="auto"/>
              <w:left w:val="nil"/>
              <w:bottom w:val="single" w:sz="4" w:space="0" w:color="auto"/>
              <w:right w:val="single" w:sz="4" w:space="0" w:color="auto"/>
            </w:tcBorders>
            <w:shd w:val="clear" w:color="auto" w:fill="FFFFFF"/>
            <w:vAlign w:val="center"/>
          </w:tcPr>
          <w:p w14:paraId="66863CF1" w14:textId="77777777" w:rsidR="008C5B37" w:rsidRPr="00B662B3" w:rsidRDefault="008C5B37" w:rsidP="008A1B2F">
            <w:pPr>
              <w:widowControl/>
              <w:jc w:val="center"/>
              <w:rPr>
                <w:b/>
                <w:color w:val="000000"/>
                <w:kern w:val="0"/>
                <w:sz w:val="24"/>
              </w:rPr>
            </w:pPr>
            <w:r w:rsidRPr="00B662B3">
              <w:rPr>
                <w:b/>
                <w:color w:val="000000"/>
                <w:kern w:val="0"/>
                <w:sz w:val="24"/>
              </w:rPr>
              <w:t>上年（前次）预计金额</w:t>
            </w:r>
          </w:p>
        </w:tc>
        <w:tc>
          <w:tcPr>
            <w:tcW w:w="1701" w:type="dxa"/>
            <w:tcBorders>
              <w:top w:val="single" w:sz="12" w:space="0" w:color="auto"/>
              <w:left w:val="nil"/>
              <w:bottom w:val="single" w:sz="4" w:space="0" w:color="auto"/>
              <w:right w:val="single" w:sz="4" w:space="0" w:color="auto"/>
            </w:tcBorders>
            <w:shd w:val="clear" w:color="auto" w:fill="FFFFFF"/>
            <w:vAlign w:val="center"/>
          </w:tcPr>
          <w:p w14:paraId="46DCC9D5" w14:textId="77777777" w:rsidR="008C5B37" w:rsidRPr="00B662B3" w:rsidRDefault="008C5B37" w:rsidP="008A1B2F">
            <w:pPr>
              <w:widowControl/>
              <w:jc w:val="center"/>
              <w:rPr>
                <w:b/>
                <w:color w:val="000000"/>
                <w:kern w:val="0"/>
                <w:sz w:val="24"/>
              </w:rPr>
            </w:pPr>
            <w:r w:rsidRPr="00B662B3">
              <w:rPr>
                <w:b/>
                <w:color w:val="000000"/>
                <w:kern w:val="0"/>
                <w:sz w:val="24"/>
              </w:rPr>
              <w:t>上年（前次）实际发生金额</w:t>
            </w:r>
          </w:p>
        </w:tc>
        <w:tc>
          <w:tcPr>
            <w:tcW w:w="2441" w:type="dxa"/>
            <w:tcBorders>
              <w:top w:val="single" w:sz="12" w:space="0" w:color="auto"/>
              <w:left w:val="nil"/>
              <w:bottom w:val="single" w:sz="4" w:space="0" w:color="auto"/>
              <w:right w:val="single" w:sz="12" w:space="0" w:color="auto"/>
            </w:tcBorders>
            <w:shd w:val="clear" w:color="auto" w:fill="FFFFFF"/>
            <w:vAlign w:val="center"/>
          </w:tcPr>
          <w:p w14:paraId="1F37D9E1" w14:textId="77777777" w:rsidR="008C5B37" w:rsidRPr="00B662B3" w:rsidRDefault="008C5B37" w:rsidP="008A1B2F">
            <w:pPr>
              <w:widowControl/>
              <w:jc w:val="center"/>
              <w:rPr>
                <w:b/>
                <w:color w:val="000000"/>
                <w:kern w:val="0"/>
                <w:sz w:val="24"/>
              </w:rPr>
            </w:pPr>
            <w:r w:rsidRPr="00B662B3">
              <w:rPr>
                <w:b/>
                <w:color w:val="000000"/>
                <w:kern w:val="0"/>
                <w:sz w:val="24"/>
              </w:rPr>
              <w:t>预计金额与实际发生金额差异较大的原因</w:t>
            </w:r>
          </w:p>
        </w:tc>
      </w:tr>
      <w:tr w:rsidR="00CF5A1E" w:rsidRPr="00B662B3" w14:paraId="7CB738ED" w14:textId="77777777" w:rsidTr="00156FAC">
        <w:trPr>
          <w:trHeight w:val="340"/>
        </w:trPr>
        <w:tc>
          <w:tcPr>
            <w:tcW w:w="1080" w:type="dxa"/>
            <w:vMerge w:val="restart"/>
            <w:tcBorders>
              <w:top w:val="nil"/>
              <w:left w:val="single" w:sz="12" w:space="0" w:color="auto"/>
              <w:bottom w:val="single" w:sz="4" w:space="0" w:color="auto"/>
              <w:right w:val="single" w:sz="4" w:space="0" w:color="auto"/>
            </w:tcBorders>
            <w:shd w:val="clear" w:color="auto" w:fill="auto"/>
            <w:vAlign w:val="center"/>
          </w:tcPr>
          <w:p w14:paraId="08321DFF" w14:textId="77777777" w:rsidR="00CF5A1E" w:rsidRPr="00B662B3" w:rsidRDefault="00CF5A1E" w:rsidP="00CF5A1E">
            <w:pPr>
              <w:widowControl/>
              <w:rPr>
                <w:color w:val="000000"/>
                <w:kern w:val="0"/>
                <w:sz w:val="24"/>
              </w:rPr>
            </w:pPr>
            <w:r w:rsidRPr="00B662B3">
              <w:rPr>
                <w:kern w:val="0"/>
                <w:sz w:val="24"/>
              </w:rPr>
              <w:t>向关联人销售产品、商品</w:t>
            </w:r>
          </w:p>
        </w:tc>
        <w:tc>
          <w:tcPr>
            <w:tcW w:w="1485" w:type="dxa"/>
            <w:tcBorders>
              <w:top w:val="nil"/>
              <w:left w:val="nil"/>
              <w:bottom w:val="single" w:sz="4" w:space="0" w:color="auto"/>
              <w:right w:val="single" w:sz="4" w:space="0" w:color="auto"/>
            </w:tcBorders>
            <w:shd w:val="clear" w:color="auto" w:fill="auto"/>
            <w:vAlign w:val="center"/>
          </w:tcPr>
          <w:p w14:paraId="05B56913" w14:textId="77777777" w:rsidR="00CF5A1E" w:rsidRPr="00B662B3" w:rsidRDefault="00CF5A1E" w:rsidP="00B662B3">
            <w:pPr>
              <w:widowControl/>
              <w:rPr>
                <w:color w:val="000000"/>
                <w:kern w:val="0"/>
                <w:sz w:val="24"/>
              </w:rPr>
            </w:pPr>
            <w:r w:rsidRPr="00B662B3">
              <w:rPr>
                <w:kern w:val="0"/>
                <w:sz w:val="24"/>
              </w:rPr>
              <w:t>深圳市万睿智能科技有限公司</w:t>
            </w:r>
          </w:p>
        </w:tc>
        <w:tc>
          <w:tcPr>
            <w:tcW w:w="1720" w:type="dxa"/>
            <w:tcBorders>
              <w:top w:val="nil"/>
              <w:left w:val="nil"/>
              <w:bottom w:val="single" w:sz="4" w:space="0" w:color="auto"/>
              <w:right w:val="single" w:sz="4" w:space="0" w:color="auto"/>
            </w:tcBorders>
            <w:shd w:val="clear" w:color="auto" w:fill="auto"/>
            <w:vAlign w:val="center"/>
          </w:tcPr>
          <w:p w14:paraId="1B8CC28A" w14:textId="670D2AA5" w:rsidR="00CF5A1E" w:rsidRPr="00B662B3" w:rsidRDefault="00A11B95" w:rsidP="00CF5A1E">
            <w:pPr>
              <w:widowControl/>
              <w:jc w:val="center"/>
              <w:rPr>
                <w:color w:val="000000"/>
                <w:kern w:val="0"/>
                <w:sz w:val="24"/>
              </w:rPr>
            </w:pPr>
            <w:r>
              <w:rPr>
                <w:rFonts w:hint="eastAsia"/>
                <w:color w:val="000000"/>
                <w:kern w:val="0"/>
                <w:sz w:val="24"/>
              </w:rPr>
              <w:t>8</w:t>
            </w:r>
            <w:r w:rsidR="00CF5A1E" w:rsidRPr="00B662B3">
              <w:rPr>
                <w:color w:val="000000"/>
                <w:kern w:val="0"/>
                <w:sz w:val="24"/>
              </w:rPr>
              <w:t>,000</w:t>
            </w:r>
          </w:p>
        </w:tc>
        <w:tc>
          <w:tcPr>
            <w:tcW w:w="1701" w:type="dxa"/>
            <w:tcBorders>
              <w:top w:val="nil"/>
              <w:left w:val="nil"/>
              <w:bottom w:val="single" w:sz="4" w:space="0" w:color="auto"/>
              <w:right w:val="single" w:sz="4" w:space="0" w:color="auto"/>
            </w:tcBorders>
            <w:shd w:val="clear" w:color="auto" w:fill="auto"/>
            <w:vAlign w:val="center"/>
          </w:tcPr>
          <w:p w14:paraId="020FEA4C" w14:textId="429F07F3" w:rsidR="00CF5A1E" w:rsidRPr="00B662B3" w:rsidRDefault="00A11B95" w:rsidP="00CF5A1E">
            <w:pPr>
              <w:widowControl/>
              <w:overflowPunct w:val="0"/>
              <w:jc w:val="center"/>
              <w:rPr>
                <w:color w:val="000000"/>
                <w:kern w:val="0"/>
                <w:sz w:val="24"/>
              </w:rPr>
            </w:pPr>
            <w:r>
              <w:rPr>
                <w:rFonts w:hint="eastAsia"/>
                <w:color w:val="000000"/>
                <w:kern w:val="0"/>
                <w:sz w:val="24"/>
              </w:rPr>
              <w:t>307.58</w:t>
            </w:r>
          </w:p>
        </w:tc>
        <w:tc>
          <w:tcPr>
            <w:tcW w:w="2441" w:type="dxa"/>
            <w:tcBorders>
              <w:top w:val="nil"/>
              <w:left w:val="nil"/>
              <w:bottom w:val="single" w:sz="4" w:space="0" w:color="auto"/>
              <w:right w:val="single" w:sz="12" w:space="0" w:color="auto"/>
            </w:tcBorders>
            <w:shd w:val="clear" w:color="auto" w:fill="auto"/>
            <w:noWrap/>
            <w:vAlign w:val="center"/>
          </w:tcPr>
          <w:p w14:paraId="379C27FF" w14:textId="05FF8F89" w:rsidR="00CF5A1E" w:rsidRPr="00B662B3" w:rsidRDefault="00CB376E" w:rsidP="00CF5A1E">
            <w:pPr>
              <w:widowControl/>
              <w:overflowPunct w:val="0"/>
              <w:jc w:val="center"/>
              <w:rPr>
                <w:color w:val="000000"/>
                <w:kern w:val="0"/>
                <w:sz w:val="24"/>
              </w:rPr>
            </w:pPr>
            <w:r>
              <w:rPr>
                <w:rFonts w:hint="eastAsia"/>
                <w:color w:val="000000"/>
                <w:kern w:val="0"/>
                <w:sz w:val="24"/>
              </w:rPr>
              <w:t>关联方受疫情及内部组织架构调整的影响，实际采购低于预计</w:t>
            </w:r>
          </w:p>
        </w:tc>
      </w:tr>
      <w:tr w:rsidR="00510992" w:rsidRPr="00B662B3" w14:paraId="3876E495" w14:textId="77777777" w:rsidTr="00156FAC">
        <w:trPr>
          <w:trHeight w:val="340"/>
        </w:trPr>
        <w:tc>
          <w:tcPr>
            <w:tcW w:w="1080" w:type="dxa"/>
            <w:vMerge/>
            <w:tcBorders>
              <w:top w:val="nil"/>
              <w:left w:val="single" w:sz="12" w:space="0" w:color="auto"/>
              <w:bottom w:val="single" w:sz="4" w:space="0" w:color="auto"/>
              <w:right w:val="single" w:sz="4" w:space="0" w:color="auto"/>
            </w:tcBorders>
            <w:vAlign w:val="center"/>
          </w:tcPr>
          <w:p w14:paraId="5D41DEC6" w14:textId="77777777" w:rsidR="00510992" w:rsidRPr="00B662B3" w:rsidRDefault="00510992" w:rsidP="00510992">
            <w:pPr>
              <w:widowControl/>
              <w:jc w:val="left"/>
              <w:rPr>
                <w:color w:val="000000"/>
                <w:kern w:val="0"/>
                <w:sz w:val="24"/>
              </w:rPr>
            </w:pPr>
          </w:p>
        </w:tc>
        <w:tc>
          <w:tcPr>
            <w:tcW w:w="1485" w:type="dxa"/>
            <w:tcBorders>
              <w:top w:val="nil"/>
              <w:left w:val="nil"/>
              <w:bottom w:val="single" w:sz="4" w:space="0" w:color="auto"/>
              <w:right w:val="single" w:sz="4" w:space="0" w:color="auto"/>
            </w:tcBorders>
            <w:shd w:val="clear" w:color="auto" w:fill="auto"/>
            <w:vAlign w:val="center"/>
          </w:tcPr>
          <w:p w14:paraId="430C392E" w14:textId="5D8323F9" w:rsidR="00510992" w:rsidRPr="00B662B3" w:rsidRDefault="00510992" w:rsidP="00510992">
            <w:pPr>
              <w:widowControl/>
              <w:rPr>
                <w:kern w:val="0"/>
                <w:sz w:val="24"/>
              </w:rPr>
            </w:pPr>
            <w:r w:rsidRPr="00B662B3">
              <w:rPr>
                <w:kern w:val="0"/>
                <w:sz w:val="24"/>
              </w:rPr>
              <w:t>深圳市赛格导航科技股份有限公</w:t>
            </w:r>
          </w:p>
        </w:tc>
        <w:tc>
          <w:tcPr>
            <w:tcW w:w="1720" w:type="dxa"/>
            <w:tcBorders>
              <w:top w:val="nil"/>
              <w:left w:val="nil"/>
              <w:bottom w:val="single" w:sz="4" w:space="0" w:color="auto"/>
              <w:right w:val="single" w:sz="4" w:space="0" w:color="auto"/>
            </w:tcBorders>
            <w:shd w:val="clear" w:color="auto" w:fill="auto"/>
            <w:vAlign w:val="center"/>
          </w:tcPr>
          <w:p w14:paraId="46FA7F17" w14:textId="0B07E366" w:rsidR="00510992" w:rsidRDefault="00510992" w:rsidP="00510992">
            <w:pPr>
              <w:widowControl/>
              <w:jc w:val="center"/>
              <w:rPr>
                <w:color w:val="000000"/>
                <w:kern w:val="0"/>
                <w:sz w:val="24"/>
              </w:rPr>
            </w:pPr>
            <w:r>
              <w:rPr>
                <w:rFonts w:hint="eastAsia"/>
                <w:color w:val="000000"/>
                <w:kern w:val="0"/>
                <w:sz w:val="24"/>
              </w:rPr>
              <w:t>6</w:t>
            </w:r>
            <w:r w:rsidRPr="00B662B3">
              <w:rPr>
                <w:color w:val="000000"/>
                <w:kern w:val="0"/>
                <w:sz w:val="24"/>
              </w:rPr>
              <w:t>00</w:t>
            </w:r>
          </w:p>
        </w:tc>
        <w:tc>
          <w:tcPr>
            <w:tcW w:w="1701" w:type="dxa"/>
            <w:tcBorders>
              <w:top w:val="nil"/>
              <w:left w:val="nil"/>
              <w:bottom w:val="single" w:sz="4" w:space="0" w:color="auto"/>
              <w:right w:val="single" w:sz="4" w:space="0" w:color="auto"/>
            </w:tcBorders>
            <w:shd w:val="clear" w:color="auto" w:fill="auto"/>
            <w:vAlign w:val="center"/>
          </w:tcPr>
          <w:p w14:paraId="48AB6EA9" w14:textId="77777777" w:rsidR="00510992" w:rsidRDefault="00510992" w:rsidP="00510992">
            <w:pPr>
              <w:widowControl/>
              <w:overflowPunct w:val="0"/>
              <w:jc w:val="center"/>
              <w:rPr>
                <w:color w:val="000000"/>
                <w:kern w:val="0"/>
                <w:sz w:val="24"/>
              </w:rPr>
            </w:pPr>
            <w:r>
              <w:rPr>
                <w:rFonts w:hint="eastAsia"/>
                <w:color w:val="000000"/>
                <w:kern w:val="0"/>
                <w:sz w:val="24"/>
              </w:rPr>
              <w:t>0</w:t>
            </w:r>
          </w:p>
          <w:p w14:paraId="12EA65FB" w14:textId="6FDB0377" w:rsidR="00510992" w:rsidRDefault="00F70E88" w:rsidP="00510992">
            <w:pPr>
              <w:widowControl/>
              <w:overflowPunct w:val="0"/>
              <w:jc w:val="center"/>
              <w:rPr>
                <w:color w:val="000000"/>
                <w:kern w:val="0"/>
                <w:sz w:val="24"/>
              </w:rPr>
            </w:pPr>
            <w:r>
              <w:rPr>
                <w:rFonts w:hint="eastAsia"/>
                <w:color w:val="000000"/>
                <w:kern w:val="0"/>
                <w:sz w:val="24"/>
              </w:rPr>
              <w:t>（</w:t>
            </w:r>
            <w:r w:rsidR="00510992">
              <w:rPr>
                <w:rFonts w:hint="eastAsia"/>
                <w:color w:val="000000"/>
                <w:kern w:val="0"/>
                <w:sz w:val="24"/>
              </w:rPr>
              <w:t>注</w:t>
            </w:r>
            <w:r w:rsidR="00510992">
              <w:rPr>
                <w:rFonts w:hint="eastAsia"/>
                <w:color w:val="000000"/>
                <w:kern w:val="0"/>
                <w:sz w:val="24"/>
              </w:rPr>
              <w:t>2</w:t>
            </w:r>
            <w:r>
              <w:rPr>
                <w:rFonts w:hint="eastAsia"/>
                <w:color w:val="000000"/>
                <w:kern w:val="0"/>
                <w:sz w:val="24"/>
              </w:rPr>
              <w:t>）</w:t>
            </w:r>
          </w:p>
        </w:tc>
        <w:tc>
          <w:tcPr>
            <w:tcW w:w="2441" w:type="dxa"/>
            <w:tcBorders>
              <w:top w:val="nil"/>
              <w:left w:val="nil"/>
              <w:bottom w:val="single" w:sz="4" w:space="0" w:color="auto"/>
              <w:right w:val="single" w:sz="12" w:space="0" w:color="auto"/>
            </w:tcBorders>
            <w:shd w:val="clear" w:color="auto" w:fill="auto"/>
            <w:noWrap/>
            <w:vAlign w:val="center"/>
          </w:tcPr>
          <w:p w14:paraId="455712BE" w14:textId="15CF1469" w:rsidR="00510992" w:rsidRPr="00B662B3" w:rsidRDefault="00510992" w:rsidP="00510992">
            <w:pPr>
              <w:widowControl/>
              <w:overflowPunct w:val="0"/>
              <w:jc w:val="center"/>
              <w:rPr>
                <w:color w:val="000000"/>
                <w:kern w:val="0"/>
                <w:sz w:val="24"/>
              </w:rPr>
            </w:pPr>
            <w:r w:rsidRPr="00B662B3">
              <w:rPr>
                <w:color w:val="000000"/>
                <w:kern w:val="0"/>
                <w:sz w:val="24"/>
              </w:rPr>
              <w:t>关联方</w:t>
            </w:r>
            <w:r w:rsidR="00CB376E">
              <w:rPr>
                <w:rFonts w:hint="eastAsia"/>
                <w:color w:val="000000"/>
                <w:kern w:val="0"/>
                <w:sz w:val="24"/>
              </w:rPr>
              <w:t>采购计划调整，实际采购低于预计</w:t>
            </w:r>
          </w:p>
        </w:tc>
      </w:tr>
      <w:tr w:rsidR="00510992" w:rsidRPr="00B662B3" w14:paraId="58F1656D" w14:textId="77777777" w:rsidTr="00156FAC">
        <w:trPr>
          <w:trHeight w:val="340"/>
        </w:trPr>
        <w:tc>
          <w:tcPr>
            <w:tcW w:w="1080" w:type="dxa"/>
            <w:vMerge/>
            <w:tcBorders>
              <w:top w:val="nil"/>
              <w:left w:val="single" w:sz="12" w:space="0" w:color="auto"/>
              <w:bottom w:val="single" w:sz="4" w:space="0" w:color="auto"/>
              <w:right w:val="single" w:sz="4" w:space="0" w:color="auto"/>
            </w:tcBorders>
            <w:vAlign w:val="center"/>
          </w:tcPr>
          <w:p w14:paraId="1C0FE465" w14:textId="77777777" w:rsidR="00510992" w:rsidRPr="00B662B3" w:rsidRDefault="00510992" w:rsidP="00510992">
            <w:pPr>
              <w:widowControl/>
              <w:jc w:val="left"/>
              <w:rPr>
                <w:color w:val="000000"/>
                <w:kern w:val="0"/>
                <w:sz w:val="24"/>
              </w:rPr>
            </w:pPr>
          </w:p>
        </w:tc>
        <w:tc>
          <w:tcPr>
            <w:tcW w:w="1485" w:type="dxa"/>
            <w:tcBorders>
              <w:top w:val="nil"/>
              <w:left w:val="nil"/>
              <w:bottom w:val="single" w:sz="4" w:space="0" w:color="auto"/>
              <w:right w:val="single" w:sz="4" w:space="0" w:color="auto"/>
            </w:tcBorders>
            <w:shd w:val="clear" w:color="auto" w:fill="auto"/>
            <w:vAlign w:val="center"/>
          </w:tcPr>
          <w:p w14:paraId="28B9B9C1" w14:textId="35F2A9BF" w:rsidR="00510992" w:rsidRPr="00B662B3" w:rsidRDefault="00510992" w:rsidP="00510992">
            <w:pPr>
              <w:widowControl/>
              <w:rPr>
                <w:color w:val="000000"/>
                <w:kern w:val="0"/>
                <w:sz w:val="24"/>
              </w:rPr>
            </w:pPr>
            <w:r w:rsidRPr="009640E9">
              <w:rPr>
                <w:rFonts w:hint="eastAsia"/>
                <w:kern w:val="0"/>
                <w:sz w:val="24"/>
              </w:rPr>
              <w:t>西安迅腾科技有限责任公司</w:t>
            </w:r>
          </w:p>
        </w:tc>
        <w:tc>
          <w:tcPr>
            <w:tcW w:w="1720" w:type="dxa"/>
            <w:tcBorders>
              <w:top w:val="nil"/>
              <w:left w:val="nil"/>
              <w:bottom w:val="single" w:sz="4" w:space="0" w:color="auto"/>
              <w:right w:val="single" w:sz="4" w:space="0" w:color="auto"/>
            </w:tcBorders>
            <w:shd w:val="clear" w:color="auto" w:fill="auto"/>
            <w:vAlign w:val="center"/>
          </w:tcPr>
          <w:p w14:paraId="7817EA64" w14:textId="6ABC7120" w:rsidR="00510992" w:rsidRPr="00B662B3" w:rsidRDefault="00B631F9" w:rsidP="00510992">
            <w:pPr>
              <w:widowControl/>
              <w:jc w:val="center"/>
              <w:rPr>
                <w:color w:val="000000"/>
                <w:kern w:val="0"/>
                <w:sz w:val="24"/>
              </w:rPr>
            </w:pPr>
            <w:r>
              <w:rPr>
                <w:rFonts w:hint="eastAsia"/>
                <w:color w:val="000000"/>
                <w:kern w:val="0"/>
                <w:sz w:val="24"/>
              </w:rPr>
              <w:t>不适用</w:t>
            </w:r>
          </w:p>
        </w:tc>
        <w:tc>
          <w:tcPr>
            <w:tcW w:w="1701" w:type="dxa"/>
            <w:tcBorders>
              <w:top w:val="nil"/>
              <w:left w:val="nil"/>
              <w:bottom w:val="single" w:sz="4" w:space="0" w:color="auto"/>
              <w:right w:val="single" w:sz="4" w:space="0" w:color="auto"/>
            </w:tcBorders>
            <w:shd w:val="clear" w:color="auto" w:fill="auto"/>
            <w:vAlign w:val="center"/>
          </w:tcPr>
          <w:p w14:paraId="4887F0E5" w14:textId="2465817E" w:rsidR="00510992" w:rsidRPr="00B662B3" w:rsidRDefault="00510992" w:rsidP="00510992">
            <w:pPr>
              <w:widowControl/>
              <w:overflowPunct w:val="0"/>
              <w:jc w:val="center"/>
              <w:rPr>
                <w:color w:val="000000"/>
                <w:kern w:val="0"/>
                <w:sz w:val="24"/>
              </w:rPr>
            </w:pPr>
            <w:r>
              <w:rPr>
                <w:rFonts w:hint="eastAsia"/>
                <w:color w:val="000000"/>
                <w:kern w:val="0"/>
                <w:sz w:val="24"/>
              </w:rPr>
              <w:t>7.43</w:t>
            </w:r>
          </w:p>
        </w:tc>
        <w:tc>
          <w:tcPr>
            <w:tcW w:w="2441" w:type="dxa"/>
            <w:tcBorders>
              <w:top w:val="nil"/>
              <w:left w:val="nil"/>
              <w:bottom w:val="single" w:sz="4" w:space="0" w:color="auto"/>
              <w:right w:val="single" w:sz="12" w:space="0" w:color="auto"/>
            </w:tcBorders>
            <w:shd w:val="clear" w:color="auto" w:fill="auto"/>
            <w:noWrap/>
            <w:vAlign w:val="center"/>
          </w:tcPr>
          <w:p w14:paraId="223150B1" w14:textId="7A91495A" w:rsidR="00510992" w:rsidRPr="00B662B3" w:rsidRDefault="00B631F9" w:rsidP="00510992">
            <w:pPr>
              <w:widowControl/>
              <w:overflowPunct w:val="0"/>
              <w:jc w:val="center"/>
              <w:rPr>
                <w:color w:val="000000"/>
                <w:kern w:val="0"/>
                <w:sz w:val="24"/>
              </w:rPr>
            </w:pPr>
            <w:r>
              <w:rPr>
                <w:rFonts w:hint="eastAsia"/>
                <w:color w:val="000000"/>
                <w:kern w:val="0"/>
                <w:sz w:val="24"/>
              </w:rPr>
              <w:t>不适用</w:t>
            </w:r>
          </w:p>
        </w:tc>
      </w:tr>
      <w:tr w:rsidR="00510992" w:rsidRPr="00B662B3" w14:paraId="6E93D6B6" w14:textId="77777777" w:rsidTr="00156FAC">
        <w:trPr>
          <w:trHeight w:val="340"/>
        </w:trPr>
        <w:tc>
          <w:tcPr>
            <w:tcW w:w="2565" w:type="dxa"/>
            <w:gridSpan w:val="2"/>
            <w:tcBorders>
              <w:top w:val="nil"/>
              <w:left w:val="single" w:sz="12" w:space="0" w:color="auto"/>
              <w:bottom w:val="single" w:sz="12" w:space="0" w:color="auto"/>
              <w:right w:val="single" w:sz="4" w:space="0" w:color="auto"/>
            </w:tcBorders>
            <w:shd w:val="clear" w:color="auto" w:fill="auto"/>
            <w:noWrap/>
            <w:vAlign w:val="center"/>
          </w:tcPr>
          <w:p w14:paraId="3FCCD93E" w14:textId="77777777" w:rsidR="00510992" w:rsidRPr="00B662B3" w:rsidRDefault="00510992" w:rsidP="00510992">
            <w:pPr>
              <w:widowControl/>
              <w:jc w:val="center"/>
              <w:rPr>
                <w:kern w:val="0"/>
                <w:sz w:val="24"/>
              </w:rPr>
            </w:pPr>
            <w:r w:rsidRPr="00B662B3">
              <w:rPr>
                <w:kern w:val="0"/>
                <w:sz w:val="24"/>
              </w:rPr>
              <w:t>合计</w:t>
            </w:r>
          </w:p>
        </w:tc>
        <w:tc>
          <w:tcPr>
            <w:tcW w:w="1720" w:type="dxa"/>
            <w:tcBorders>
              <w:top w:val="nil"/>
              <w:left w:val="nil"/>
              <w:bottom w:val="single" w:sz="12" w:space="0" w:color="auto"/>
              <w:right w:val="single" w:sz="4" w:space="0" w:color="auto"/>
            </w:tcBorders>
            <w:shd w:val="clear" w:color="auto" w:fill="auto"/>
            <w:noWrap/>
            <w:vAlign w:val="center"/>
          </w:tcPr>
          <w:p w14:paraId="30B706C7" w14:textId="53A57C98" w:rsidR="00510992" w:rsidRPr="00B662B3" w:rsidRDefault="00510992" w:rsidP="00510992">
            <w:pPr>
              <w:widowControl/>
              <w:jc w:val="center"/>
              <w:rPr>
                <w:kern w:val="0"/>
                <w:sz w:val="24"/>
              </w:rPr>
            </w:pPr>
            <w:r>
              <w:rPr>
                <w:rFonts w:hint="eastAsia"/>
                <w:kern w:val="0"/>
                <w:sz w:val="24"/>
              </w:rPr>
              <w:t>8</w:t>
            </w:r>
            <w:r>
              <w:rPr>
                <w:kern w:val="0"/>
                <w:sz w:val="24"/>
              </w:rPr>
              <w:t>,</w:t>
            </w:r>
            <w:r>
              <w:rPr>
                <w:rFonts w:hint="eastAsia"/>
                <w:kern w:val="0"/>
                <w:sz w:val="24"/>
              </w:rPr>
              <w:t>600</w:t>
            </w:r>
          </w:p>
        </w:tc>
        <w:tc>
          <w:tcPr>
            <w:tcW w:w="1701" w:type="dxa"/>
            <w:tcBorders>
              <w:top w:val="nil"/>
              <w:left w:val="nil"/>
              <w:bottom w:val="single" w:sz="12" w:space="0" w:color="auto"/>
              <w:right w:val="single" w:sz="4" w:space="0" w:color="auto"/>
            </w:tcBorders>
            <w:shd w:val="clear" w:color="auto" w:fill="auto"/>
            <w:noWrap/>
            <w:vAlign w:val="center"/>
          </w:tcPr>
          <w:p w14:paraId="788BBF4E" w14:textId="7631B981" w:rsidR="00510992" w:rsidRPr="00B662B3" w:rsidRDefault="00510992" w:rsidP="00510992">
            <w:pPr>
              <w:widowControl/>
              <w:jc w:val="center"/>
              <w:rPr>
                <w:kern w:val="0"/>
                <w:sz w:val="24"/>
              </w:rPr>
            </w:pPr>
            <w:r>
              <w:rPr>
                <w:rFonts w:hint="eastAsia"/>
                <w:kern w:val="0"/>
                <w:sz w:val="24"/>
              </w:rPr>
              <w:t>3</w:t>
            </w:r>
            <w:r w:rsidR="00CB376E">
              <w:rPr>
                <w:rFonts w:hint="eastAsia"/>
                <w:kern w:val="0"/>
                <w:sz w:val="24"/>
              </w:rPr>
              <w:t>15.01</w:t>
            </w:r>
          </w:p>
        </w:tc>
        <w:tc>
          <w:tcPr>
            <w:tcW w:w="2441" w:type="dxa"/>
            <w:tcBorders>
              <w:top w:val="nil"/>
              <w:left w:val="nil"/>
              <w:bottom w:val="single" w:sz="12" w:space="0" w:color="auto"/>
              <w:right w:val="single" w:sz="12" w:space="0" w:color="auto"/>
            </w:tcBorders>
            <w:shd w:val="clear" w:color="auto" w:fill="auto"/>
            <w:noWrap/>
            <w:vAlign w:val="center"/>
          </w:tcPr>
          <w:p w14:paraId="24370A53" w14:textId="77777777" w:rsidR="00510992" w:rsidRPr="00B662B3" w:rsidRDefault="00510992" w:rsidP="00510992">
            <w:pPr>
              <w:widowControl/>
              <w:jc w:val="center"/>
              <w:rPr>
                <w:kern w:val="0"/>
                <w:sz w:val="24"/>
              </w:rPr>
            </w:pPr>
            <w:r w:rsidRPr="00B662B3">
              <w:rPr>
                <w:kern w:val="0"/>
                <w:sz w:val="24"/>
              </w:rPr>
              <w:t>-</w:t>
            </w:r>
          </w:p>
        </w:tc>
      </w:tr>
    </w:tbl>
    <w:p w14:paraId="38A0E5AD" w14:textId="519010AF" w:rsidR="007B2C0E" w:rsidRPr="007B2C0E" w:rsidRDefault="007B2C0E" w:rsidP="007B2C0E">
      <w:pPr>
        <w:adjustRightInd w:val="0"/>
        <w:spacing w:line="600" w:lineRule="exact"/>
        <w:ind w:firstLineChars="200" w:firstLine="560"/>
        <w:jc w:val="left"/>
        <w:rPr>
          <w:sz w:val="28"/>
          <w:szCs w:val="28"/>
        </w:rPr>
      </w:pPr>
      <w:r>
        <w:rPr>
          <w:rFonts w:hint="eastAsia"/>
          <w:sz w:val="28"/>
          <w:szCs w:val="28"/>
        </w:rPr>
        <w:t>注：</w:t>
      </w:r>
      <w:r w:rsidR="00A11B95">
        <w:rPr>
          <w:rFonts w:hint="eastAsia"/>
          <w:sz w:val="28"/>
          <w:szCs w:val="28"/>
        </w:rPr>
        <w:t>1</w:t>
      </w:r>
      <w:r w:rsidR="00A11B95">
        <w:rPr>
          <w:rFonts w:hint="eastAsia"/>
          <w:sz w:val="28"/>
          <w:szCs w:val="28"/>
        </w:rPr>
        <w:t>、</w:t>
      </w:r>
      <w:r>
        <w:rPr>
          <w:rFonts w:hint="eastAsia"/>
          <w:sz w:val="28"/>
          <w:szCs w:val="28"/>
        </w:rPr>
        <w:t>以上数据未经审计</w:t>
      </w:r>
      <w:r w:rsidR="00A11B95">
        <w:rPr>
          <w:rFonts w:hint="eastAsia"/>
          <w:sz w:val="28"/>
          <w:szCs w:val="28"/>
        </w:rPr>
        <w:t>；</w:t>
      </w:r>
      <w:r w:rsidR="00A11B95">
        <w:rPr>
          <w:rFonts w:hint="eastAsia"/>
          <w:sz w:val="28"/>
          <w:szCs w:val="28"/>
        </w:rPr>
        <w:t>2</w:t>
      </w:r>
      <w:r w:rsidR="00A11B95">
        <w:rPr>
          <w:rFonts w:hint="eastAsia"/>
          <w:sz w:val="28"/>
          <w:szCs w:val="28"/>
        </w:rPr>
        <w:t>、</w:t>
      </w:r>
      <w:r w:rsidR="00A11B95" w:rsidRPr="00A11B95">
        <w:rPr>
          <w:rFonts w:hint="eastAsia"/>
          <w:sz w:val="28"/>
          <w:szCs w:val="28"/>
        </w:rPr>
        <w:t>深圳市赛格导航科技股份有限</w:t>
      </w:r>
      <w:r w:rsidR="00A11B95" w:rsidRPr="00A11B95">
        <w:rPr>
          <w:rFonts w:hint="eastAsia"/>
          <w:sz w:val="28"/>
          <w:szCs w:val="28"/>
        </w:rPr>
        <w:lastRenderedPageBreak/>
        <w:t>公司</w:t>
      </w:r>
      <w:r w:rsidR="00A11B95">
        <w:rPr>
          <w:rFonts w:hint="eastAsia"/>
          <w:sz w:val="28"/>
          <w:szCs w:val="28"/>
        </w:rPr>
        <w:t>2020</w:t>
      </w:r>
      <w:r w:rsidR="00A11B95">
        <w:rPr>
          <w:rFonts w:hint="eastAsia"/>
          <w:sz w:val="28"/>
          <w:szCs w:val="28"/>
        </w:rPr>
        <w:t>年度通过</w:t>
      </w:r>
      <w:r w:rsidR="002C69B8">
        <w:rPr>
          <w:rFonts w:hint="eastAsia"/>
          <w:sz w:val="28"/>
          <w:szCs w:val="28"/>
        </w:rPr>
        <w:t>经销商</w:t>
      </w:r>
      <w:r w:rsidR="00A11B95">
        <w:rPr>
          <w:rFonts w:hint="eastAsia"/>
          <w:sz w:val="28"/>
          <w:szCs w:val="28"/>
        </w:rPr>
        <w:t>向公司采购，采购金额</w:t>
      </w:r>
      <w:r w:rsidR="00A11B95">
        <w:rPr>
          <w:rFonts w:hint="eastAsia"/>
          <w:sz w:val="28"/>
          <w:szCs w:val="28"/>
        </w:rPr>
        <w:t>127.59</w:t>
      </w:r>
      <w:r w:rsidR="00A11B95">
        <w:rPr>
          <w:rFonts w:hint="eastAsia"/>
          <w:sz w:val="28"/>
          <w:szCs w:val="28"/>
        </w:rPr>
        <w:t>万元</w:t>
      </w:r>
      <w:r w:rsidR="00B631F9">
        <w:rPr>
          <w:rFonts w:hint="eastAsia"/>
          <w:sz w:val="28"/>
          <w:szCs w:val="28"/>
        </w:rPr>
        <w:t>；</w:t>
      </w:r>
      <w:r w:rsidR="00B631F9">
        <w:rPr>
          <w:rFonts w:hint="eastAsia"/>
          <w:sz w:val="28"/>
          <w:szCs w:val="28"/>
        </w:rPr>
        <w:t>3</w:t>
      </w:r>
      <w:r w:rsidR="00B631F9">
        <w:rPr>
          <w:rFonts w:hint="eastAsia"/>
          <w:sz w:val="28"/>
          <w:szCs w:val="28"/>
        </w:rPr>
        <w:t>、</w:t>
      </w:r>
      <w:r w:rsidR="00B631F9" w:rsidRPr="00B631F9">
        <w:rPr>
          <w:rFonts w:hint="eastAsia"/>
          <w:sz w:val="28"/>
          <w:szCs w:val="28"/>
        </w:rPr>
        <w:t>西安迅腾科技有限责任公司</w:t>
      </w:r>
      <w:r w:rsidR="00B631F9" w:rsidRPr="00B631F9">
        <w:rPr>
          <w:rFonts w:hint="eastAsia"/>
          <w:sz w:val="28"/>
          <w:szCs w:val="28"/>
        </w:rPr>
        <w:t>2</w:t>
      </w:r>
      <w:r w:rsidR="00B631F9" w:rsidRPr="00B631F9">
        <w:rPr>
          <w:sz w:val="28"/>
          <w:szCs w:val="28"/>
        </w:rPr>
        <w:t>020</w:t>
      </w:r>
      <w:r w:rsidR="00B631F9" w:rsidRPr="00B631F9">
        <w:rPr>
          <w:rFonts w:hint="eastAsia"/>
          <w:sz w:val="28"/>
          <w:szCs w:val="28"/>
        </w:rPr>
        <w:t>年度向公司零星采购产品用于测试验证，不属于日常性质的采购交易。</w:t>
      </w:r>
    </w:p>
    <w:p w14:paraId="0F97E482" w14:textId="10E7A73F" w:rsidR="008C5B37" w:rsidRPr="00B662B3" w:rsidRDefault="008C5B37" w:rsidP="00837A17">
      <w:pPr>
        <w:adjustRightInd w:val="0"/>
        <w:spacing w:line="600" w:lineRule="exact"/>
        <w:ind w:firstLineChars="200" w:firstLine="562"/>
        <w:jc w:val="left"/>
        <w:rPr>
          <w:b/>
          <w:bCs/>
          <w:sz w:val="28"/>
          <w:szCs w:val="28"/>
        </w:rPr>
      </w:pPr>
      <w:r w:rsidRPr="00B662B3">
        <w:rPr>
          <w:b/>
          <w:bCs/>
          <w:sz w:val="28"/>
          <w:szCs w:val="28"/>
        </w:rPr>
        <w:t>二、</w:t>
      </w:r>
      <w:r w:rsidR="007B396E" w:rsidRPr="00B662B3">
        <w:rPr>
          <w:b/>
          <w:bCs/>
          <w:sz w:val="28"/>
          <w:szCs w:val="28"/>
        </w:rPr>
        <w:t>关联人</w:t>
      </w:r>
      <w:r w:rsidR="00155017" w:rsidRPr="00B662B3">
        <w:rPr>
          <w:b/>
          <w:bCs/>
          <w:sz w:val="28"/>
          <w:szCs w:val="28"/>
        </w:rPr>
        <w:t>基本情况和关联</w:t>
      </w:r>
      <w:r w:rsidR="00A11B95">
        <w:rPr>
          <w:rFonts w:hint="eastAsia"/>
          <w:b/>
          <w:bCs/>
          <w:sz w:val="28"/>
          <w:szCs w:val="28"/>
        </w:rPr>
        <w:t>关系</w:t>
      </w:r>
    </w:p>
    <w:p w14:paraId="51260DB7" w14:textId="77777777" w:rsidR="004C4896" w:rsidRDefault="008C5B37" w:rsidP="00B662B3">
      <w:pPr>
        <w:adjustRightInd w:val="0"/>
        <w:spacing w:line="600" w:lineRule="exact"/>
        <w:ind w:firstLineChars="200" w:firstLine="560"/>
        <w:jc w:val="left"/>
        <w:rPr>
          <w:bCs/>
          <w:sz w:val="28"/>
          <w:szCs w:val="28"/>
        </w:rPr>
      </w:pPr>
      <w:r w:rsidRPr="00B662B3">
        <w:rPr>
          <w:bCs/>
          <w:sz w:val="28"/>
          <w:szCs w:val="28"/>
        </w:rPr>
        <w:t>（一）</w:t>
      </w:r>
      <w:r w:rsidR="007B396E" w:rsidRPr="00B662B3">
        <w:rPr>
          <w:bCs/>
          <w:sz w:val="28"/>
          <w:szCs w:val="28"/>
        </w:rPr>
        <w:t>关联人</w:t>
      </w:r>
      <w:r w:rsidRPr="00B662B3">
        <w:rPr>
          <w:bCs/>
          <w:sz w:val="28"/>
          <w:szCs w:val="28"/>
        </w:rPr>
        <w:t>的基本情况。</w:t>
      </w:r>
    </w:p>
    <w:p w14:paraId="3BE9120D" w14:textId="77777777" w:rsidR="00B662B3" w:rsidRPr="00B662B3" w:rsidRDefault="00B662B3" w:rsidP="00B662B3">
      <w:pPr>
        <w:adjustRightInd w:val="0"/>
        <w:spacing w:line="600" w:lineRule="exact"/>
        <w:ind w:firstLineChars="200" w:firstLine="560"/>
        <w:jc w:val="left"/>
        <w:rPr>
          <w:bCs/>
          <w:sz w:val="28"/>
          <w:szCs w:val="28"/>
        </w:rPr>
      </w:pPr>
      <w:r>
        <w:rPr>
          <w:rFonts w:hint="eastAsia"/>
          <w:bCs/>
          <w:sz w:val="28"/>
          <w:szCs w:val="28"/>
        </w:rPr>
        <w:t>1</w:t>
      </w:r>
      <w:r>
        <w:rPr>
          <w:rFonts w:hint="eastAsia"/>
          <w:bCs/>
          <w:sz w:val="28"/>
          <w:szCs w:val="28"/>
        </w:rPr>
        <w:t>、</w:t>
      </w:r>
      <w:r w:rsidRPr="00B662B3">
        <w:rPr>
          <w:rFonts w:hint="eastAsia"/>
          <w:bCs/>
          <w:sz w:val="28"/>
          <w:szCs w:val="28"/>
        </w:rPr>
        <w:t>深圳市万睿智能科技有限公司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8"/>
        <w:gridCol w:w="2102"/>
        <w:gridCol w:w="4206"/>
      </w:tblGrid>
      <w:tr w:rsidR="00774B19" w:rsidRPr="00B662B3" w14:paraId="0A4E9AF9" w14:textId="77777777" w:rsidTr="00B662B3">
        <w:trPr>
          <w:trHeight w:val="340"/>
          <w:jc w:val="center"/>
        </w:trPr>
        <w:tc>
          <w:tcPr>
            <w:tcW w:w="1189" w:type="pct"/>
            <w:vAlign w:val="center"/>
          </w:tcPr>
          <w:p w14:paraId="77665E20"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公司名称</w:t>
            </w:r>
          </w:p>
        </w:tc>
        <w:tc>
          <w:tcPr>
            <w:tcW w:w="3811" w:type="pct"/>
            <w:gridSpan w:val="2"/>
            <w:vAlign w:val="center"/>
          </w:tcPr>
          <w:p w14:paraId="2D35F6ED" w14:textId="77777777" w:rsidR="00774B19" w:rsidRPr="00B662B3" w:rsidRDefault="00774B19" w:rsidP="008778A4">
            <w:pPr>
              <w:rPr>
                <w:bCs/>
                <w:color w:val="000000"/>
                <w:sz w:val="24"/>
                <w:shd w:val="clear" w:color="auto" w:fill="FFFFFF"/>
              </w:rPr>
            </w:pPr>
            <w:r w:rsidRPr="00B662B3">
              <w:rPr>
                <w:kern w:val="0"/>
                <w:sz w:val="24"/>
              </w:rPr>
              <w:t>深圳市万睿智能科技有限公司</w:t>
            </w:r>
          </w:p>
        </w:tc>
      </w:tr>
      <w:tr w:rsidR="00774B19" w:rsidRPr="00B662B3" w14:paraId="08308E13" w14:textId="77777777" w:rsidTr="00B662B3">
        <w:trPr>
          <w:trHeight w:val="340"/>
          <w:jc w:val="center"/>
        </w:trPr>
        <w:tc>
          <w:tcPr>
            <w:tcW w:w="1189" w:type="pct"/>
            <w:vAlign w:val="center"/>
          </w:tcPr>
          <w:p w14:paraId="049BF0C4"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企业类型</w:t>
            </w:r>
          </w:p>
        </w:tc>
        <w:tc>
          <w:tcPr>
            <w:tcW w:w="3811" w:type="pct"/>
            <w:gridSpan w:val="2"/>
            <w:vAlign w:val="center"/>
          </w:tcPr>
          <w:p w14:paraId="6D704C6B" w14:textId="77777777" w:rsidR="00774B19" w:rsidRPr="00B662B3" w:rsidRDefault="00774B19" w:rsidP="008778A4">
            <w:pPr>
              <w:rPr>
                <w:bCs/>
                <w:color w:val="000000"/>
                <w:sz w:val="24"/>
                <w:shd w:val="clear" w:color="auto" w:fill="FFFFFF"/>
              </w:rPr>
            </w:pPr>
            <w:r w:rsidRPr="00B662B3">
              <w:rPr>
                <w:bCs/>
                <w:color w:val="000000"/>
                <w:sz w:val="24"/>
                <w:shd w:val="clear" w:color="auto" w:fill="FFFFFF"/>
              </w:rPr>
              <w:t>有限责任公司（法人独资）</w:t>
            </w:r>
          </w:p>
        </w:tc>
      </w:tr>
      <w:tr w:rsidR="00774B19" w:rsidRPr="00B662B3" w14:paraId="7E3C1EB8" w14:textId="77777777" w:rsidTr="00B662B3">
        <w:trPr>
          <w:trHeight w:val="340"/>
          <w:jc w:val="center"/>
        </w:trPr>
        <w:tc>
          <w:tcPr>
            <w:tcW w:w="1189" w:type="pct"/>
            <w:vAlign w:val="center"/>
          </w:tcPr>
          <w:p w14:paraId="49C72347"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法定代表人</w:t>
            </w:r>
          </w:p>
        </w:tc>
        <w:tc>
          <w:tcPr>
            <w:tcW w:w="3811" w:type="pct"/>
            <w:gridSpan w:val="2"/>
            <w:vAlign w:val="center"/>
          </w:tcPr>
          <w:p w14:paraId="77A1335B" w14:textId="77777777" w:rsidR="00774B19" w:rsidRPr="00B662B3" w:rsidRDefault="00774B19" w:rsidP="008778A4">
            <w:pPr>
              <w:rPr>
                <w:bCs/>
                <w:color w:val="000000"/>
                <w:sz w:val="24"/>
                <w:shd w:val="clear" w:color="auto" w:fill="FFFFFF"/>
              </w:rPr>
            </w:pPr>
            <w:r w:rsidRPr="00B662B3">
              <w:rPr>
                <w:bCs/>
                <w:color w:val="000000"/>
                <w:sz w:val="24"/>
                <w:shd w:val="clear" w:color="auto" w:fill="FFFFFF"/>
              </w:rPr>
              <w:t>喻斌</w:t>
            </w:r>
          </w:p>
        </w:tc>
      </w:tr>
      <w:tr w:rsidR="00774B19" w:rsidRPr="00B662B3" w14:paraId="39F87172" w14:textId="77777777" w:rsidTr="00B662B3">
        <w:trPr>
          <w:trHeight w:val="340"/>
          <w:jc w:val="center"/>
        </w:trPr>
        <w:tc>
          <w:tcPr>
            <w:tcW w:w="1189" w:type="pct"/>
            <w:vAlign w:val="center"/>
          </w:tcPr>
          <w:p w14:paraId="63737200"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注册资本</w:t>
            </w:r>
          </w:p>
        </w:tc>
        <w:tc>
          <w:tcPr>
            <w:tcW w:w="3811" w:type="pct"/>
            <w:gridSpan w:val="2"/>
            <w:vAlign w:val="center"/>
          </w:tcPr>
          <w:p w14:paraId="5EE95F43" w14:textId="77777777" w:rsidR="00774B19" w:rsidRPr="00B662B3" w:rsidRDefault="00774B19" w:rsidP="008778A4">
            <w:pPr>
              <w:rPr>
                <w:bCs/>
                <w:color w:val="000000"/>
                <w:sz w:val="24"/>
                <w:shd w:val="clear" w:color="auto" w:fill="FFFFFF"/>
              </w:rPr>
            </w:pPr>
            <w:r w:rsidRPr="00B662B3">
              <w:rPr>
                <w:bCs/>
                <w:color w:val="000000"/>
                <w:sz w:val="24"/>
                <w:shd w:val="clear" w:color="auto" w:fill="FFFFFF"/>
              </w:rPr>
              <w:t>10</w:t>
            </w:r>
            <w:r w:rsidR="00EE2677">
              <w:rPr>
                <w:bCs/>
                <w:color w:val="000000"/>
                <w:sz w:val="24"/>
                <w:shd w:val="clear" w:color="auto" w:fill="FFFFFF"/>
              </w:rPr>
              <w:t>,</w:t>
            </w:r>
            <w:r w:rsidRPr="00B662B3">
              <w:rPr>
                <w:bCs/>
                <w:color w:val="000000"/>
                <w:sz w:val="24"/>
                <w:shd w:val="clear" w:color="auto" w:fill="FFFFFF"/>
              </w:rPr>
              <w:t>000</w:t>
            </w:r>
            <w:r w:rsidR="00EE2677">
              <w:rPr>
                <w:bCs/>
                <w:color w:val="000000"/>
                <w:sz w:val="24"/>
                <w:shd w:val="clear" w:color="auto" w:fill="FFFFFF"/>
              </w:rPr>
              <w:t>.00</w:t>
            </w:r>
            <w:r w:rsidRPr="00B662B3">
              <w:rPr>
                <w:bCs/>
                <w:color w:val="000000"/>
                <w:sz w:val="24"/>
                <w:shd w:val="clear" w:color="auto" w:fill="FFFFFF"/>
              </w:rPr>
              <w:t>万元</w:t>
            </w:r>
          </w:p>
        </w:tc>
      </w:tr>
      <w:tr w:rsidR="00774B19" w:rsidRPr="00B662B3" w14:paraId="7F641B46" w14:textId="77777777" w:rsidTr="00B662B3">
        <w:trPr>
          <w:trHeight w:val="340"/>
          <w:jc w:val="center"/>
        </w:trPr>
        <w:tc>
          <w:tcPr>
            <w:tcW w:w="1189" w:type="pct"/>
            <w:vAlign w:val="center"/>
          </w:tcPr>
          <w:p w14:paraId="0B24EFAB"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成立日期</w:t>
            </w:r>
          </w:p>
        </w:tc>
        <w:tc>
          <w:tcPr>
            <w:tcW w:w="3811" w:type="pct"/>
            <w:gridSpan w:val="2"/>
            <w:vAlign w:val="center"/>
          </w:tcPr>
          <w:p w14:paraId="230B3104" w14:textId="77777777" w:rsidR="00774B19" w:rsidRPr="00B662B3" w:rsidRDefault="00774B19" w:rsidP="008778A4">
            <w:pPr>
              <w:rPr>
                <w:bCs/>
                <w:color w:val="000000"/>
                <w:sz w:val="24"/>
                <w:shd w:val="clear" w:color="auto" w:fill="FFFFFF"/>
              </w:rPr>
            </w:pPr>
            <w:r w:rsidRPr="00B662B3">
              <w:rPr>
                <w:bCs/>
                <w:color w:val="000000"/>
                <w:sz w:val="24"/>
                <w:shd w:val="clear" w:color="auto" w:fill="FFFFFF"/>
              </w:rPr>
              <w:t>2013</w:t>
            </w:r>
            <w:r w:rsidRPr="00B662B3">
              <w:rPr>
                <w:bCs/>
                <w:color w:val="000000"/>
                <w:sz w:val="24"/>
                <w:shd w:val="clear" w:color="auto" w:fill="FFFFFF"/>
              </w:rPr>
              <w:t>年</w:t>
            </w:r>
            <w:r w:rsidRPr="00B662B3">
              <w:rPr>
                <w:bCs/>
                <w:color w:val="000000"/>
                <w:sz w:val="24"/>
                <w:shd w:val="clear" w:color="auto" w:fill="FFFFFF"/>
              </w:rPr>
              <w:t>1</w:t>
            </w:r>
            <w:r w:rsidRPr="00B662B3">
              <w:rPr>
                <w:bCs/>
                <w:color w:val="000000"/>
                <w:sz w:val="24"/>
                <w:shd w:val="clear" w:color="auto" w:fill="FFFFFF"/>
              </w:rPr>
              <w:t>月</w:t>
            </w:r>
            <w:r w:rsidRPr="00B662B3">
              <w:rPr>
                <w:bCs/>
                <w:color w:val="000000"/>
                <w:sz w:val="24"/>
                <w:shd w:val="clear" w:color="auto" w:fill="FFFFFF"/>
              </w:rPr>
              <w:t>30</w:t>
            </w:r>
            <w:r w:rsidRPr="00B662B3">
              <w:rPr>
                <w:bCs/>
                <w:color w:val="000000"/>
                <w:sz w:val="24"/>
                <w:shd w:val="clear" w:color="auto" w:fill="FFFFFF"/>
              </w:rPr>
              <w:t>日</w:t>
            </w:r>
          </w:p>
        </w:tc>
      </w:tr>
      <w:tr w:rsidR="00774B19" w:rsidRPr="00B662B3" w14:paraId="49EB50E6" w14:textId="77777777" w:rsidTr="00B662B3">
        <w:trPr>
          <w:trHeight w:val="340"/>
          <w:jc w:val="center"/>
        </w:trPr>
        <w:tc>
          <w:tcPr>
            <w:tcW w:w="1189" w:type="pct"/>
            <w:vAlign w:val="center"/>
          </w:tcPr>
          <w:p w14:paraId="3E774ECE"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注册地址及主要生产经营地</w:t>
            </w:r>
          </w:p>
        </w:tc>
        <w:tc>
          <w:tcPr>
            <w:tcW w:w="3811" w:type="pct"/>
            <w:gridSpan w:val="2"/>
            <w:vAlign w:val="center"/>
          </w:tcPr>
          <w:p w14:paraId="021710C7" w14:textId="77777777" w:rsidR="00774B19" w:rsidRPr="00B662B3" w:rsidRDefault="00774B19" w:rsidP="008778A4">
            <w:pPr>
              <w:rPr>
                <w:bCs/>
                <w:color w:val="000000"/>
                <w:sz w:val="24"/>
                <w:shd w:val="clear" w:color="auto" w:fill="FFFFFF"/>
              </w:rPr>
            </w:pPr>
            <w:r w:rsidRPr="00B662B3">
              <w:rPr>
                <w:bCs/>
                <w:color w:val="000000"/>
                <w:sz w:val="24"/>
                <w:shd w:val="clear" w:color="auto" w:fill="FFFFFF"/>
              </w:rPr>
              <w:t>深圳市福田区梅林路</w:t>
            </w:r>
            <w:r w:rsidRPr="00B662B3">
              <w:rPr>
                <w:bCs/>
                <w:color w:val="000000"/>
                <w:sz w:val="24"/>
                <w:shd w:val="clear" w:color="auto" w:fill="FFFFFF"/>
              </w:rPr>
              <w:t>63</w:t>
            </w:r>
            <w:r w:rsidRPr="00B662B3">
              <w:rPr>
                <w:bCs/>
                <w:color w:val="000000"/>
                <w:sz w:val="24"/>
                <w:shd w:val="clear" w:color="auto" w:fill="FFFFFF"/>
              </w:rPr>
              <w:t>号梅林万科中心四层</w:t>
            </w:r>
          </w:p>
        </w:tc>
      </w:tr>
      <w:tr w:rsidR="00774B19" w:rsidRPr="00B662B3" w14:paraId="3D38EB91" w14:textId="77777777" w:rsidTr="00B662B3">
        <w:trPr>
          <w:trHeight w:val="340"/>
          <w:jc w:val="center"/>
        </w:trPr>
        <w:tc>
          <w:tcPr>
            <w:tcW w:w="1189" w:type="pct"/>
            <w:vAlign w:val="center"/>
          </w:tcPr>
          <w:p w14:paraId="638B60A5"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主营业务</w:t>
            </w:r>
          </w:p>
        </w:tc>
        <w:tc>
          <w:tcPr>
            <w:tcW w:w="3811" w:type="pct"/>
            <w:gridSpan w:val="2"/>
            <w:vAlign w:val="center"/>
          </w:tcPr>
          <w:p w14:paraId="750789A8" w14:textId="77777777" w:rsidR="00774B19" w:rsidRPr="00B662B3" w:rsidRDefault="00774B19" w:rsidP="008778A4">
            <w:pPr>
              <w:rPr>
                <w:bCs/>
                <w:color w:val="000000"/>
                <w:sz w:val="24"/>
                <w:shd w:val="clear" w:color="auto" w:fill="FFFFFF"/>
              </w:rPr>
            </w:pPr>
            <w:r w:rsidRPr="00B662B3">
              <w:rPr>
                <w:bCs/>
                <w:color w:val="000000"/>
                <w:sz w:val="24"/>
                <w:shd w:val="clear" w:color="auto" w:fill="FFFFFF"/>
              </w:rPr>
              <w:t>建筑智能化工程；智慧城市和智能楼宇系统及工程；智能家居系统及工程等。</w:t>
            </w:r>
          </w:p>
        </w:tc>
      </w:tr>
      <w:tr w:rsidR="00774B19" w:rsidRPr="00B662B3" w14:paraId="3401C882" w14:textId="77777777" w:rsidTr="00B662B3">
        <w:trPr>
          <w:trHeight w:val="340"/>
          <w:jc w:val="center"/>
        </w:trPr>
        <w:tc>
          <w:tcPr>
            <w:tcW w:w="1189" w:type="pct"/>
            <w:vAlign w:val="center"/>
          </w:tcPr>
          <w:p w14:paraId="4BB1E521"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主要股东</w:t>
            </w:r>
          </w:p>
        </w:tc>
        <w:tc>
          <w:tcPr>
            <w:tcW w:w="3811" w:type="pct"/>
            <w:gridSpan w:val="2"/>
            <w:vAlign w:val="center"/>
          </w:tcPr>
          <w:p w14:paraId="02AFF976" w14:textId="2ACEFA35" w:rsidR="00774B19" w:rsidRPr="00B662B3" w:rsidRDefault="00B631F9" w:rsidP="008778A4">
            <w:pPr>
              <w:rPr>
                <w:bCs/>
                <w:color w:val="000000"/>
                <w:sz w:val="24"/>
                <w:shd w:val="clear" w:color="auto" w:fill="FFFFFF"/>
              </w:rPr>
            </w:pPr>
            <w:r w:rsidRPr="00B631F9">
              <w:rPr>
                <w:rFonts w:hint="eastAsia"/>
                <w:bCs/>
                <w:color w:val="000000"/>
                <w:sz w:val="24"/>
                <w:shd w:val="clear" w:color="auto" w:fill="FFFFFF"/>
              </w:rPr>
              <w:t>万物云空间科技服务股份有限公司</w:t>
            </w:r>
            <w:r>
              <w:rPr>
                <w:rFonts w:hint="eastAsia"/>
                <w:bCs/>
                <w:color w:val="000000"/>
                <w:sz w:val="24"/>
                <w:shd w:val="clear" w:color="auto" w:fill="FFFFFF"/>
              </w:rPr>
              <w:t>（原</w:t>
            </w:r>
            <w:r w:rsidR="00DF579D">
              <w:rPr>
                <w:rFonts w:hint="eastAsia"/>
                <w:bCs/>
                <w:color w:val="000000"/>
                <w:sz w:val="24"/>
                <w:shd w:val="clear" w:color="auto" w:fill="FFFFFF"/>
              </w:rPr>
              <w:t>名</w:t>
            </w:r>
            <w:r w:rsidR="004B6661">
              <w:rPr>
                <w:rFonts w:hint="eastAsia"/>
                <w:bCs/>
                <w:color w:val="000000"/>
                <w:sz w:val="24"/>
                <w:shd w:val="clear" w:color="auto" w:fill="FFFFFF"/>
              </w:rPr>
              <w:t>：</w:t>
            </w:r>
            <w:r w:rsidR="007D67C3" w:rsidRPr="00B662B3">
              <w:rPr>
                <w:bCs/>
                <w:color w:val="000000"/>
                <w:sz w:val="24"/>
                <w:shd w:val="clear" w:color="auto" w:fill="FFFFFF"/>
              </w:rPr>
              <w:t>万科物业发展股份有限公司</w:t>
            </w:r>
            <w:r>
              <w:rPr>
                <w:rFonts w:hint="eastAsia"/>
                <w:bCs/>
                <w:color w:val="000000"/>
                <w:sz w:val="24"/>
                <w:shd w:val="clear" w:color="auto" w:fill="FFFFFF"/>
              </w:rPr>
              <w:t>）</w:t>
            </w:r>
          </w:p>
        </w:tc>
      </w:tr>
      <w:tr w:rsidR="00774B19" w:rsidRPr="00B662B3" w14:paraId="4883EEEA" w14:textId="77777777" w:rsidTr="00BA540B">
        <w:trPr>
          <w:trHeight w:val="340"/>
          <w:jc w:val="center"/>
        </w:trPr>
        <w:tc>
          <w:tcPr>
            <w:tcW w:w="1189" w:type="pct"/>
            <w:vMerge w:val="restart"/>
            <w:vAlign w:val="center"/>
          </w:tcPr>
          <w:p w14:paraId="4375F640" w14:textId="77777777" w:rsidR="00774B19" w:rsidRPr="00B662B3" w:rsidRDefault="00774B19" w:rsidP="00BA540B">
            <w:pPr>
              <w:jc w:val="center"/>
              <w:rPr>
                <w:bCs/>
                <w:color w:val="000000"/>
                <w:sz w:val="24"/>
                <w:shd w:val="clear" w:color="auto" w:fill="FFFFFF"/>
              </w:rPr>
            </w:pPr>
            <w:r w:rsidRPr="00B662B3">
              <w:rPr>
                <w:bCs/>
                <w:color w:val="000000"/>
                <w:sz w:val="24"/>
                <w:shd w:val="clear" w:color="auto" w:fill="FFFFFF"/>
              </w:rPr>
              <w:t>主要财务数据（万元）（未经审计）</w:t>
            </w:r>
          </w:p>
        </w:tc>
        <w:tc>
          <w:tcPr>
            <w:tcW w:w="1270" w:type="pct"/>
            <w:vAlign w:val="center"/>
          </w:tcPr>
          <w:p w14:paraId="1F74C99F"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项目</w:t>
            </w:r>
          </w:p>
        </w:tc>
        <w:tc>
          <w:tcPr>
            <w:tcW w:w="2541" w:type="pct"/>
            <w:vAlign w:val="center"/>
          </w:tcPr>
          <w:p w14:paraId="5E67A077" w14:textId="306B789F"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20</w:t>
            </w:r>
            <w:r w:rsidR="00955551">
              <w:rPr>
                <w:rFonts w:hint="eastAsia"/>
                <w:bCs/>
                <w:color w:val="000000"/>
                <w:sz w:val="24"/>
                <w:shd w:val="clear" w:color="auto" w:fill="FFFFFF"/>
              </w:rPr>
              <w:t>20</w:t>
            </w:r>
            <w:r w:rsidRPr="00B662B3">
              <w:rPr>
                <w:bCs/>
                <w:color w:val="000000"/>
                <w:sz w:val="24"/>
                <w:shd w:val="clear" w:color="auto" w:fill="FFFFFF"/>
              </w:rPr>
              <w:t>年</w:t>
            </w:r>
            <w:r w:rsidRPr="00B662B3">
              <w:rPr>
                <w:bCs/>
                <w:color w:val="000000"/>
                <w:sz w:val="24"/>
                <w:shd w:val="clear" w:color="auto" w:fill="FFFFFF"/>
              </w:rPr>
              <w:t>12</w:t>
            </w:r>
            <w:r w:rsidRPr="00B662B3">
              <w:rPr>
                <w:bCs/>
                <w:color w:val="000000"/>
                <w:sz w:val="24"/>
                <w:shd w:val="clear" w:color="auto" w:fill="FFFFFF"/>
              </w:rPr>
              <w:t>月</w:t>
            </w:r>
            <w:r w:rsidRPr="00B662B3">
              <w:rPr>
                <w:bCs/>
                <w:color w:val="000000"/>
                <w:sz w:val="24"/>
                <w:shd w:val="clear" w:color="auto" w:fill="FFFFFF"/>
              </w:rPr>
              <w:t>31</w:t>
            </w:r>
            <w:r w:rsidRPr="00B662B3">
              <w:rPr>
                <w:bCs/>
                <w:color w:val="000000"/>
                <w:sz w:val="24"/>
                <w:shd w:val="clear" w:color="auto" w:fill="FFFFFF"/>
              </w:rPr>
              <w:t>日</w:t>
            </w:r>
            <w:r w:rsidRPr="00B662B3">
              <w:rPr>
                <w:bCs/>
                <w:color w:val="000000"/>
                <w:sz w:val="24"/>
                <w:shd w:val="clear" w:color="auto" w:fill="FFFFFF"/>
              </w:rPr>
              <w:t>/20</w:t>
            </w:r>
            <w:r w:rsidR="00955551">
              <w:rPr>
                <w:rFonts w:hint="eastAsia"/>
                <w:bCs/>
                <w:color w:val="000000"/>
                <w:sz w:val="24"/>
                <w:shd w:val="clear" w:color="auto" w:fill="FFFFFF"/>
              </w:rPr>
              <w:t>20</w:t>
            </w:r>
            <w:r w:rsidRPr="00B662B3">
              <w:rPr>
                <w:bCs/>
                <w:color w:val="000000"/>
                <w:sz w:val="24"/>
                <w:shd w:val="clear" w:color="auto" w:fill="FFFFFF"/>
              </w:rPr>
              <w:t>年度</w:t>
            </w:r>
          </w:p>
        </w:tc>
      </w:tr>
      <w:tr w:rsidR="00774B19" w:rsidRPr="00B662B3" w14:paraId="78862637" w14:textId="77777777" w:rsidTr="00B662B3">
        <w:trPr>
          <w:trHeight w:val="340"/>
          <w:jc w:val="center"/>
        </w:trPr>
        <w:tc>
          <w:tcPr>
            <w:tcW w:w="1189" w:type="pct"/>
            <w:vMerge/>
            <w:vAlign w:val="center"/>
          </w:tcPr>
          <w:p w14:paraId="08716040" w14:textId="77777777" w:rsidR="00774B19" w:rsidRPr="00B662B3" w:rsidRDefault="00774B19" w:rsidP="008778A4">
            <w:pPr>
              <w:jc w:val="center"/>
              <w:rPr>
                <w:bCs/>
                <w:color w:val="000000"/>
                <w:sz w:val="24"/>
                <w:shd w:val="clear" w:color="auto" w:fill="FFFFFF"/>
              </w:rPr>
            </w:pPr>
          </w:p>
        </w:tc>
        <w:tc>
          <w:tcPr>
            <w:tcW w:w="1270" w:type="pct"/>
            <w:vAlign w:val="center"/>
          </w:tcPr>
          <w:p w14:paraId="0086378B"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总资产</w:t>
            </w:r>
          </w:p>
        </w:tc>
        <w:tc>
          <w:tcPr>
            <w:tcW w:w="2541" w:type="pct"/>
            <w:vAlign w:val="center"/>
          </w:tcPr>
          <w:p w14:paraId="380D7D21" w14:textId="4C7C49E9" w:rsidR="00774B19" w:rsidRPr="00B662B3" w:rsidRDefault="00B631F9" w:rsidP="008778A4">
            <w:pPr>
              <w:jc w:val="right"/>
              <w:rPr>
                <w:bCs/>
                <w:color w:val="000000"/>
                <w:sz w:val="24"/>
                <w:shd w:val="clear" w:color="auto" w:fill="FFFFFF"/>
              </w:rPr>
            </w:pPr>
            <w:r w:rsidRPr="00B631F9">
              <w:rPr>
                <w:bCs/>
                <w:color w:val="000000"/>
                <w:sz w:val="24"/>
                <w:shd w:val="clear" w:color="auto" w:fill="FFFFFF"/>
              </w:rPr>
              <w:t>159,959.1</w:t>
            </w:r>
            <w:r>
              <w:rPr>
                <w:rFonts w:hint="eastAsia"/>
                <w:bCs/>
                <w:color w:val="000000"/>
                <w:sz w:val="24"/>
                <w:shd w:val="clear" w:color="auto" w:fill="FFFFFF"/>
              </w:rPr>
              <w:t>8</w:t>
            </w:r>
          </w:p>
        </w:tc>
      </w:tr>
      <w:tr w:rsidR="00774B19" w:rsidRPr="00B662B3" w14:paraId="55BE9DD8" w14:textId="77777777" w:rsidTr="00B662B3">
        <w:trPr>
          <w:trHeight w:val="340"/>
          <w:jc w:val="center"/>
        </w:trPr>
        <w:tc>
          <w:tcPr>
            <w:tcW w:w="1189" w:type="pct"/>
            <w:vMerge/>
            <w:vAlign w:val="center"/>
          </w:tcPr>
          <w:p w14:paraId="4D74FF5F" w14:textId="77777777" w:rsidR="00774B19" w:rsidRPr="00B662B3" w:rsidRDefault="00774B19" w:rsidP="008778A4">
            <w:pPr>
              <w:jc w:val="center"/>
              <w:rPr>
                <w:bCs/>
                <w:color w:val="000000"/>
                <w:sz w:val="24"/>
                <w:shd w:val="clear" w:color="auto" w:fill="FFFFFF"/>
              </w:rPr>
            </w:pPr>
          </w:p>
        </w:tc>
        <w:tc>
          <w:tcPr>
            <w:tcW w:w="1270" w:type="pct"/>
            <w:vAlign w:val="center"/>
          </w:tcPr>
          <w:p w14:paraId="1C75AEDD"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净资产</w:t>
            </w:r>
          </w:p>
        </w:tc>
        <w:tc>
          <w:tcPr>
            <w:tcW w:w="2541" w:type="pct"/>
            <w:vAlign w:val="center"/>
          </w:tcPr>
          <w:p w14:paraId="69C21578" w14:textId="1AB03A24" w:rsidR="00774B19" w:rsidRPr="00B662B3" w:rsidRDefault="00B631F9" w:rsidP="008778A4">
            <w:pPr>
              <w:jc w:val="right"/>
              <w:rPr>
                <w:bCs/>
                <w:color w:val="000000"/>
                <w:sz w:val="24"/>
                <w:shd w:val="clear" w:color="auto" w:fill="FFFFFF"/>
              </w:rPr>
            </w:pPr>
            <w:r w:rsidRPr="00B631F9">
              <w:rPr>
                <w:sz w:val="24"/>
                <w:szCs w:val="28"/>
              </w:rPr>
              <w:t>37,285.67</w:t>
            </w:r>
          </w:p>
        </w:tc>
      </w:tr>
      <w:tr w:rsidR="00774B19" w:rsidRPr="00B662B3" w14:paraId="4E542C69" w14:textId="77777777" w:rsidTr="00B662B3">
        <w:trPr>
          <w:trHeight w:val="340"/>
          <w:jc w:val="center"/>
        </w:trPr>
        <w:tc>
          <w:tcPr>
            <w:tcW w:w="1189" w:type="pct"/>
            <w:vMerge/>
            <w:vAlign w:val="center"/>
          </w:tcPr>
          <w:p w14:paraId="0CBA4DF9" w14:textId="77777777" w:rsidR="00774B19" w:rsidRPr="00B662B3" w:rsidRDefault="00774B19" w:rsidP="008778A4">
            <w:pPr>
              <w:jc w:val="center"/>
              <w:rPr>
                <w:bCs/>
                <w:color w:val="000000"/>
                <w:sz w:val="24"/>
                <w:shd w:val="clear" w:color="auto" w:fill="FFFFFF"/>
              </w:rPr>
            </w:pPr>
          </w:p>
        </w:tc>
        <w:tc>
          <w:tcPr>
            <w:tcW w:w="1270" w:type="pct"/>
            <w:vAlign w:val="center"/>
          </w:tcPr>
          <w:p w14:paraId="624E0F83"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营业收入</w:t>
            </w:r>
          </w:p>
        </w:tc>
        <w:tc>
          <w:tcPr>
            <w:tcW w:w="2541" w:type="pct"/>
            <w:vAlign w:val="center"/>
          </w:tcPr>
          <w:p w14:paraId="67B60E6C" w14:textId="7F8DEA4B" w:rsidR="00774B19" w:rsidRPr="00B662B3" w:rsidRDefault="00B631F9" w:rsidP="008778A4">
            <w:pPr>
              <w:jc w:val="right"/>
              <w:rPr>
                <w:bCs/>
                <w:color w:val="000000"/>
                <w:sz w:val="24"/>
                <w:shd w:val="clear" w:color="auto" w:fill="FFFFFF"/>
              </w:rPr>
            </w:pPr>
            <w:r w:rsidRPr="00B631F9">
              <w:rPr>
                <w:sz w:val="24"/>
                <w:szCs w:val="28"/>
              </w:rPr>
              <w:t>113,374.65</w:t>
            </w:r>
          </w:p>
        </w:tc>
      </w:tr>
      <w:tr w:rsidR="00774B19" w:rsidRPr="00B662B3" w14:paraId="3B3811E4" w14:textId="77777777" w:rsidTr="00B662B3">
        <w:trPr>
          <w:trHeight w:val="340"/>
          <w:jc w:val="center"/>
        </w:trPr>
        <w:tc>
          <w:tcPr>
            <w:tcW w:w="1189" w:type="pct"/>
            <w:vMerge/>
            <w:vAlign w:val="center"/>
          </w:tcPr>
          <w:p w14:paraId="0E38968F" w14:textId="77777777" w:rsidR="00774B19" w:rsidRPr="00B662B3" w:rsidRDefault="00774B19" w:rsidP="008778A4">
            <w:pPr>
              <w:jc w:val="center"/>
              <w:rPr>
                <w:bCs/>
                <w:color w:val="000000"/>
                <w:sz w:val="24"/>
                <w:shd w:val="clear" w:color="auto" w:fill="FFFFFF"/>
              </w:rPr>
            </w:pPr>
          </w:p>
        </w:tc>
        <w:tc>
          <w:tcPr>
            <w:tcW w:w="1270" w:type="pct"/>
            <w:vAlign w:val="center"/>
          </w:tcPr>
          <w:p w14:paraId="2BF49A55" w14:textId="77777777" w:rsidR="00774B19" w:rsidRPr="00B662B3" w:rsidRDefault="00774B19" w:rsidP="008778A4">
            <w:pPr>
              <w:jc w:val="center"/>
              <w:rPr>
                <w:bCs/>
                <w:color w:val="000000"/>
                <w:sz w:val="24"/>
                <w:shd w:val="clear" w:color="auto" w:fill="FFFFFF"/>
              </w:rPr>
            </w:pPr>
            <w:r w:rsidRPr="00B662B3">
              <w:rPr>
                <w:bCs/>
                <w:color w:val="000000"/>
                <w:sz w:val="24"/>
                <w:shd w:val="clear" w:color="auto" w:fill="FFFFFF"/>
              </w:rPr>
              <w:t>净利润</w:t>
            </w:r>
          </w:p>
        </w:tc>
        <w:tc>
          <w:tcPr>
            <w:tcW w:w="2541" w:type="pct"/>
            <w:vAlign w:val="center"/>
          </w:tcPr>
          <w:p w14:paraId="61D17310" w14:textId="1F37A3C1" w:rsidR="00774B19" w:rsidRPr="00B662B3" w:rsidRDefault="00B631F9" w:rsidP="008778A4">
            <w:pPr>
              <w:jc w:val="right"/>
              <w:rPr>
                <w:bCs/>
                <w:color w:val="000000"/>
                <w:sz w:val="24"/>
                <w:shd w:val="clear" w:color="auto" w:fill="FFFFFF"/>
              </w:rPr>
            </w:pPr>
            <w:r w:rsidRPr="00B631F9">
              <w:rPr>
                <w:sz w:val="24"/>
                <w:szCs w:val="28"/>
              </w:rPr>
              <w:t>22,571.48</w:t>
            </w:r>
          </w:p>
        </w:tc>
      </w:tr>
    </w:tbl>
    <w:p w14:paraId="711332F0" w14:textId="77777777" w:rsidR="003C3148" w:rsidRPr="00B662B3" w:rsidRDefault="00B662B3" w:rsidP="00B662B3">
      <w:pPr>
        <w:adjustRightInd w:val="0"/>
        <w:spacing w:line="600" w:lineRule="exact"/>
        <w:ind w:firstLineChars="200" w:firstLine="560"/>
        <w:jc w:val="left"/>
        <w:rPr>
          <w:bCs/>
          <w:sz w:val="28"/>
          <w:szCs w:val="28"/>
        </w:rPr>
      </w:pPr>
      <w:r>
        <w:rPr>
          <w:rFonts w:hint="eastAsia"/>
          <w:bCs/>
          <w:sz w:val="28"/>
          <w:szCs w:val="28"/>
        </w:rPr>
        <w:t>2</w:t>
      </w:r>
      <w:r>
        <w:rPr>
          <w:rFonts w:hint="eastAsia"/>
          <w:bCs/>
          <w:sz w:val="28"/>
          <w:szCs w:val="28"/>
        </w:rPr>
        <w:t>、</w:t>
      </w:r>
      <w:r w:rsidRPr="00B662B3">
        <w:rPr>
          <w:rFonts w:hint="eastAsia"/>
          <w:bCs/>
          <w:sz w:val="28"/>
          <w:szCs w:val="28"/>
        </w:rPr>
        <w:t>深圳市赛格导航科技股份有限公司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8"/>
        <w:gridCol w:w="2102"/>
        <w:gridCol w:w="4206"/>
      </w:tblGrid>
      <w:tr w:rsidR="003C3148" w:rsidRPr="00B662B3" w14:paraId="365FFF42" w14:textId="77777777" w:rsidTr="00B662B3">
        <w:trPr>
          <w:trHeight w:val="340"/>
          <w:jc w:val="center"/>
        </w:trPr>
        <w:tc>
          <w:tcPr>
            <w:tcW w:w="1189" w:type="pct"/>
            <w:vAlign w:val="center"/>
          </w:tcPr>
          <w:p w14:paraId="08961C99"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公司名称</w:t>
            </w:r>
          </w:p>
        </w:tc>
        <w:tc>
          <w:tcPr>
            <w:tcW w:w="3811" w:type="pct"/>
            <w:gridSpan w:val="2"/>
            <w:vAlign w:val="center"/>
          </w:tcPr>
          <w:p w14:paraId="01D3D35B" w14:textId="77777777" w:rsidR="003C3148" w:rsidRPr="00B662B3" w:rsidRDefault="003C3148" w:rsidP="008778A4">
            <w:pPr>
              <w:rPr>
                <w:bCs/>
                <w:color w:val="000000"/>
                <w:sz w:val="24"/>
                <w:shd w:val="clear" w:color="auto" w:fill="FFFFFF"/>
              </w:rPr>
            </w:pPr>
            <w:r w:rsidRPr="00B662B3">
              <w:rPr>
                <w:kern w:val="0"/>
                <w:sz w:val="24"/>
              </w:rPr>
              <w:t>深圳市赛格导航科技股份有限公司</w:t>
            </w:r>
          </w:p>
        </w:tc>
      </w:tr>
      <w:tr w:rsidR="003C3148" w:rsidRPr="00B662B3" w14:paraId="1758E43D" w14:textId="77777777" w:rsidTr="00B662B3">
        <w:trPr>
          <w:trHeight w:val="340"/>
          <w:jc w:val="center"/>
        </w:trPr>
        <w:tc>
          <w:tcPr>
            <w:tcW w:w="1189" w:type="pct"/>
            <w:vAlign w:val="center"/>
          </w:tcPr>
          <w:p w14:paraId="1BD05F79"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企业类型</w:t>
            </w:r>
          </w:p>
        </w:tc>
        <w:tc>
          <w:tcPr>
            <w:tcW w:w="3811" w:type="pct"/>
            <w:gridSpan w:val="2"/>
            <w:vAlign w:val="center"/>
          </w:tcPr>
          <w:p w14:paraId="23EB5CEE" w14:textId="77777777" w:rsidR="003C3148" w:rsidRPr="00B662B3" w:rsidRDefault="003C3148" w:rsidP="008778A4">
            <w:pPr>
              <w:rPr>
                <w:bCs/>
                <w:color w:val="000000"/>
                <w:sz w:val="24"/>
                <w:shd w:val="clear" w:color="auto" w:fill="FFFFFF"/>
              </w:rPr>
            </w:pPr>
            <w:r w:rsidRPr="00B662B3">
              <w:rPr>
                <w:bCs/>
                <w:color w:val="000000"/>
                <w:sz w:val="24"/>
                <w:shd w:val="clear" w:color="auto" w:fill="FFFFFF"/>
              </w:rPr>
              <w:t>股份有限公司</w:t>
            </w:r>
          </w:p>
        </w:tc>
      </w:tr>
      <w:tr w:rsidR="003C3148" w:rsidRPr="00B662B3" w14:paraId="5F1EA475" w14:textId="77777777" w:rsidTr="00B662B3">
        <w:trPr>
          <w:trHeight w:val="340"/>
          <w:jc w:val="center"/>
        </w:trPr>
        <w:tc>
          <w:tcPr>
            <w:tcW w:w="1189" w:type="pct"/>
            <w:vAlign w:val="center"/>
          </w:tcPr>
          <w:p w14:paraId="4838C077"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法定代表人</w:t>
            </w:r>
          </w:p>
        </w:tc>
        <w:tc>
          <w:tcPr>
            <w:tcW w:w="3811" w:type="pct"/>
            <w:gridSpan w:val="2"/>
            <w:vAlign w:val="center"/>
          </w:tcPr>
          <w:p w14:paraId="443C79EF" w14:textId="77777777" w:rsidR="003C3148" w:rsidRPr="00B662B3" w:rsidRDefault="003C3148" w:rsidP="008778A4">
            <w:pPr>
              <w:rPr>
                <w:bCs/>
                <w:color w:val="000000"/>
                <w:sz w:val="24"/>
                <w:shd w:val="clear" w:color="auto" w:fill="FFFFFF"/>
              </w:rPr>
            </w:pPr>
            <w:r w:rsidRPr="00B662B3">
              <w:rPr>
                <w:bCs/>
                <w:color w:val="000000"/>
                <w:sz w:val="24"/>
                <w:shd w:val="clear" w:color="auto" w:fill="FFFFFF"/>
              </w:rPr>
              <w:t>张家同</w:t>
            </w:r>
          </w:p>
        </w:tc>
      </w:tr>
      <w:tr w:rsidR="003C3148" w:rsidRPr="00B662B3" w14:paraId="02B536E7" w14:textId="77777777" w:rsidTr="00B662B3">
        <w:trPr>
          <w:trHeight w:val="340"/>
          <w:jc w:val="center"/>
        </w:trPr>
        <w:tc>
          <w:tcPr>
            <w:tcW w:w="1189" w:type="pct"/>
            <w:vAlign w:val="center"/>
          </w:tcPr>
          <w:p w14:paraId="35980627"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注册资本</w:t>
            </w:r>
          </w:p>
        </w:tc>
        <w:tc>
          <w:tcPr>
            <w:tcW w:w="3811" w:type="pct"/>
            <w:gridSpan w:val="2"/>
            <w:vAlign w:val="center"/>
          </w:tcPr>
          <w:p w14:paraId="2430E45B" w14:textId="77777777" w:rsidR="003C3148" w:rsidRPr="00B662B3" w:rsidRDefault="003C3148" w:rsidP="008778A4">
            <w:pPr>
              <w:rPr>
                <w:bCs/>
                <w:color w:val="000000"/>
                <w:sz w:val="24"/>
                <w:shd w:val="clear" w:color="auto" w:fill="FFFFFF"/>
              </w:rPr>
            </w:pPr>
            <w:r w:rsidRPr="00B662B3">
              <w:rPr>
                <w:bCs/>
                <w:color w:val="000000"/>
                <w:sz w:val="24"/>
                <w:shd w:val="clear" w:color="auto" w:fill="FFFFFF"/>
              </w:rPr>
              <w:t>6</w:t>
            </w:r>
            <w:r w:rsidR="00B662B3" w:rsidRPr="00B662B3">
              <w:rPr>
                <w:bCs/>
                <w:color w:val="000000"/>
                <w:sz w:val="24"/>
                <w:shd w:val="clear" w:color="auto" w:fill="FFFFFF"/>
              </w:rPr>
              <w:t>,</w:t>
            </w:r>
            <w:r w:rsidRPr="00B662B3">
              <w:rPr>
                <w:bCs/>
                <w:color w:val="000000"/>
                <w:sz w:val="24"/>
                <w:shd w:val="clear" w:color="auto" w:fill="FFFFFF"/>
              </w:rPr>
              <w:t>688</w:t>
            </w:r>
            <w:r w:rsidR="00B662B3" w:rsidRPr="00B662B3">
              <w:rPr>
                <w:bCs/>
                <w:color w:val="000000"/>
                <w:sz w:val="24"/>
                <w:shd w:val="clear" w:color="auto" w:fill="FFFFFF"/>
              </w:rPr>
              <w:t>.00</w:t>
            </w:r>
            <w:r w:rsidRPr="00B662B3">
              <w:rPr>
                <w:bCs/>
                <w:color w:val="000000"/>
                <w:sz w:val="24"/>
                <w:shd w:val="clear" w:color="auto" w:fill="FFFFFF"/>
              </w:rPr>
              <w:t>万元</w:t>
            </w:r>
          </w:p>
        </w:tc>
      </w:tr>
      <w:tr w:rsidR="003C3148" w:rsidRPr="00B662B3" w14:paraId="080CE0D0" w14:textId="77777777" w:rsidTr="00B662B3">
        <w:trPr>
          <w:trHeight w:val="340"/>
          <w:jc w:val="center"/>
        </w:trPr>
        <w:tc>
          <w:tcPr>
            <w:tcW w:w="1189" w:type="pct"/>
            <w:vAlign w:val="center"/>
          </w:tcPr>
          <w:p w14:paraId="7D07E619"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成立日期</w:t>
            </w:r>
          </w:p>
        </w:tc>
        <w:tc>
          <w:tcPr>
            <w:tcW w:w="3811" w:type="pct"/>
            <w:gridSpan w:val="2"/>
            <w:vAlign w:val="center"/>
          </w:tcPr>
          <w:p w14:paraId="33135767" w14:textId="77777777" w:rsidR="003C3148" w:rsidRPr="00B662B3" w:rsidRDefault="003C3148" w:rsidP="008778A4">
            <w:pPr>
              <w:rPr>
                <w:bCs/>
                <w:color w:val="000000"/>
                <w:sz w:val="24"/>
                <w:shd w:val="clear" w:color="auto" w:fill="FFFFFF"/>
              </w:rPr>
            </w:pPr>
            <w:r w:rsidRPr="00B662B3">
              <w:rPr>
                <w:bCs/>
                <w:color w:val="000000"/>
                <w:sz w:val="24"/>
                <w:shd w:val="clear" w:color="auto" w:fill="FFFFFF"/>
              </w:rPr>
              <w:t>1999</w:t>
            </w:r>
            <w:r w:rsidRPr="00B662B3">
              <w:rPr>
                <w:bCs/>
                <w:color w:val="000000"/>
                <w:sz w:val="24"/>
                <w:shd w:val="clear" w:color="auto" w:fill="FFFFFF"/>
              </w:rPr>
              <w:t>年</w:t>
            </w:r>
            <w:r w:rsidRPr="00B662B3">
              <w:rPr>
                <w:bCs/>
                <w:color w:val="000000"/>
                <w:sz w:val="24"/>
                <w:shd w:val="clear" w:color="auto" w:fill="FFFFFF"/>
              </w:rPr>
              <w:t>6</w:t>
            </w:r>
            <w:r w:rsidRPr="00B662B3">
              <w:rPr>
                <w:bCs/>
                <w:color w:val="000000"/>
                <w:sz w:val="24"/>
                <w:shd w:val="clear" w:color="auto" w:fill="FFFFFF"/>
              </w:rPr>
              <w:t>月</w:t>
            </w:r>
            <w:r w:rsidRPr="00B662B3">
              <w:rPr>
                <w:bCs/>
                <w:color w:val="000000"/>
                <w:sz w:val="24"/>
                <w:shd w:val="clear" w:color="auto" w:fill="FFFFFF"/>
              </w:rPr>
              <w:t>29</w:t>
            </w:r>
            <w:r w:rsidRPr="00B662B3">
              <w:rPr>
                <w:bCs/>
                <w:color w:val="000000"/>
                <w:sz w:val="24"/>
                <w:shd w:val="clear" w:color="auto" w:fill="FFFFFF"/>
              </w:rPr>
              <w:t>日</w:t>
            </w:r>
          </w:p>
        </w:tc>
      </w:tr>
      <w:tr w:rsidR="003C3148" w:rsidRPr="00B662B3" w14:paraId="3370D7A3" w14:textId="77777777" w:rsidTr="00B662B3">
        <w:trPr>
          <w:trHeight w:val="340"/>
          <w:jc w:val="center"/>
        </w:trPr>
        <w:tc>
          <w:tcPr>
            <w:tcW w:w="1189" w:type="pct"/>
            <w:vAlign w:val="center"/>
          </w:tcPr>
          <w:p w14:paraId="71194F98"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注册地址及主要生产经营地</w:t>
            </w:r>
          </w:p>
        </w:tc>
        <w:tc>
          <w:tcPr>
            <w:tcW w:w="3811" w:type="pct"/>
            <w:gridSpan w:val="2"/>
            <w:vAlign w:val="center"/>
          </w:tcPr>
          <w:p w14:paraId="730F77B9" w14:textId="77777777" w:rsidR="003C3148" w:rsidRPr="00B662B3" w:rsidRDefault="003C3148" w:rsidP="008778A4">
            <w:pPr>
              <w:rPr>
                <w:bCs/>
                <w:color w:val="000000"/>
                <w:sz w:val="24"/>
                <w:shd w:val="clear" w:color="auto" w:fill="FFFFFF"/>
              </w:rPr>
            </w:pPr>
            <w:r w:rsidRPr="00B662B3">
              <w:rPr>
                <w:bCs/>
                <w:color w:val="000000"/>
                <w:sz w:val="24"/>
                <w:shd w:val="clear" w:color="auto" w:fill="FFFFFF"/>
              </w:rPr>
              <w:t>深圳市南山区高新区南区市高新技术工业村</w:t>
            </w:r>
            <w:r w:rsidRPr="00B662B3">
              <w:rPr>
                <w:bCs/>
                <w:color w:val="000000"/>
                <w:sz w:val="24"/>
                <w:shd w:val="clear" w:color="auto" w:fill="FFFFFF"/>
              </w:rPr>
              <w:t>T2</w:t>
            </w:r>
            <w:r w:rsidRPr="00B662B3">
              <w:rPr>
                <w:bCs/>
                <w:color w:val="000000"/>
                <w:sz w:val="24"/>
                <w:shd w:val="clear" w:color="auto" w:fill="FFFFFF"/>
              </w:rPr>
              <w:t>栋</w:t>
            </w:r>
            <w:r w:rsidRPr="00B662B3">
              <w:rPr>
                <w:bCs/>
                <w:color w:val="000000"/>
                <w:sz w:val="24"/>
                <w:shd w:val="clear" w:color="auto" w:fill="FFFFFF"/>
              </w:rPr>
              <w:t>B6</w:t>
            </w:r>
            <w:r w:rsidRPr="00B662B3">
              <w:rPr>
                <w:bCs/>
                <w:color w:val="000000"/>
                <w:sz w:val="24"/>
                <w:shd w:val="clear" w:color="auto" w:fill="FFFFFF"/>
              </w:rPr>
              <w:t>厂房</w:t>
            </w:r>
          </w:p>
        </w:tc>
      </w:tr>
      <w:tr w:rsidR="003C3148" w:rsidRPr="00B662B3" w14:paraId="70AD25AD" w14:textId="77777777" w:rsidTr="00B662B3">
        <w:trPr>
          <w:trHeight w:val="340"/>
          <w:jc w:val="center"/>
        </w:trPr>
        <w:tc>
          <w:tcPr>
            <w:tcW w:w="1189" w:type="pct"/>
            <w:vAlign w:val="center"/>
          </w:tcPr>
          <w:p w14:paraId="0B0D638E"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主营业务</w:t>
            </w:r>
          </w:p>
        </w:tc>
        <w:tc>
          <w:tcPr>
            <w:tcW w:w="3811" w:type="pct"/>
            <w:gridSpan w:val="2"/>
            <w:vAlign w:val="center"/>
          </w:tcPr>
          <w:p w14:paraId="1BB1022C" w14:textId="77777777" w:rsidR="003C3148" w:rsidRPr="00B662B3" w:rsidRDefault="003C3148" w:rsidP="008778A4">
            <w:pPr>
              <w:rPr>
                <w:bCs/>
                <w:color w:val="000000"/>
                <w:sz w:val="24"/>
                <w:shd w:val="clear" w:color="auto" w:fill="FFFFFF"/>
              </w:rPr>
            </w:pPr>
            <w:r w:rsidRPr="00B662B3">
              <w:rPr>
                <w:bCs/>
                <w:color w:val="000000"/>
                <w:sz w:val="24"/>
                <w:shd w:val="clear" w:color="auto" w:fill="FFFFFF"/>
              </w:rPr>
              <w:t>车联网终端的研发、生产、销售和车联网在线信息服务</w:t>
            </w:r>
          </w:p>
        </w:tc>
      </w:tr>
      <w:tr w:rsidR="003C3148" w:rsidRPr="00B662B3" w14:paraId="48433E18" w14:textId="77777777" w:rsidTr="00B662B3">
        <w:trPr>
          <w:trHeight w:val="340"/>
          <w:jc w:val="center"/>
        </w:trPr>
        <w:tc>
          <w:tcPr>
            <w:tcW w:w="1189" w:type="pct"/>
            <w:vAlign w:val="center"/>
          </w:tcPr>
          <w:p w14:paraId="3D8B59EE"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主要股东</w:t>
            </w:r>
          </w:p>
        </w:tc>
        <w:tc>
          <w:tcPr>
            <w:tcW w:w="3811" w:type="pct"/>
            <w:gridSpan w:val="2"/>
            <w:vAlign w:val="center"/>
          </w:tcPr>
          <w:p w14:paraId="2605D182" w14:textId="77777777" w:rsidR="003C3148" w:rsidRPr="00B662B3" w:rsidRDefault="003C3148" w:rsidP="008778A4">
            <w:pPr>
              <w:rPr>
                <w:bCs/>
                <w:color w:val="000000"/>
                <w:sz w:val="24"/>
                <w:shd w:val="clear" w:color="auto" w:fill="FFFFFF"/>
              </w:rPr>
            </w:pPr>
            <w:r w:rsidRPr="00B662B3">
              <w:rPr>
                <w:bCs/>
                <w:color w:val="000000"/>
                <w:sz w:val="24"/>
                <w:shd w:val="clear" w:color="auto" w:fill="FFFFFF"/>
              </w:rPr>
              <w:t>张家同、深圳赛格股份有限公司等</w:t>
            </w:r>
          </w:p>
        </w:tc>
      </w:tr>
      <w:tr w:rsidR="003C3148" w:rsidRPr="00B662B3" w14:paraId="32257F05" w14:textId="77777777" w:rsidTr="00B662B3">
        <w:trPr>
          <w:trHeight w:val="340"/>
          <w:jc w:val="center"/>
        </w:trPr>
        <w:tc>
          <w:tcPr>
            <w:tcW w:w="1189" w:type="pct"/>
            <w:vMerge w:val="restart"/>
            <w:vAlign w:val="center"/>
          </w:tcPr>
          <w:p w14:paraId="56B1FEB3" w14:textId="3FB373AF"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主要财务数据（万元）</w:t>
            </w:r>
            <w:r w:rsidR="00166F22">
              <w:rPr>
                <w:rFonts w:hint="eastAsia"/>
                <w:bCs/>
                <w:color w:val="000000"/>
                <w:sz w:val="24"/>
                <w:shd w:val="clear" w:color="auto" w:fill="FFFFFF"/>
              </w:rPr>
              <w:t>（</w:t>
            </w:r>
            <w:r w:rsidR="00166F22">
              <w:rPr>
                <w:rFonts w:hint="eastAsia"/>
                <w:bCs/>
                <w:color w:val="000000"/>
                <w:sz w:val="24"/>
                <w:shd w:val="clear" w:color="auto" w:fill="FFFFFF"/>
              </w:rPr>
              <w:t>2</w:t>
            </w:r>
            <w:r w:rsidR="00166F22">
              <w:rPr>
                <w:bCs/>
                <w:color w:val="000000"/>
                <w:sz w:val="24"/>
                <w:shd w:val="clear" w:color="auto" w:fill="FFFFFF"/>
              </w:rPr>
              <w:t>0</w:t>
            </w:r>
            <w:r w:rsidR="0094336B">
              <w:rPr>
                <w:rFonts w:hint="eastAsia"/>
                <w:bCs/>
                <w:color w:val="000000"/>
                <w:sz w:val="24"/>
                <w:shd w:val="clear" w:color="auto" w:fill="FFFFFF"/>
              </w:rPr>
              <w:t>20</w:t>
            </w:r>
            <w:r w:rsidR="00166F22">
              <w:rPr>
                <w:rFonts w:hint="eastAsia"/>
                <w:bCs/>
                <w:color w:val="000000"/>
                <w:sz w:val="24"/>
                <w:shd w:val="clear" w:color="auto" w:fill="FFFFFF"/>
              </w:rPr>
              <w:t>年数据尚未披</w:t>
            </w:r>
            <w:r w:rsidR="00166F22">
              <w:rPr>
                <w:rFonts w:hint="eastAsia"/>
                <w:bCs/>
                <w:color w:val="000000"/>
                <w:sz w:val="24"/>
                <w:shd w:val="clear" w:color="auto" w:fill="FFFFFF"/>
              </w:rPr>
              <w:lastRenderedPageBreak/>
              <w:t>露）</w:t>
            </w:r>
          </w:p>
        </w:tc>
        <w:tc>
          <w:tcPr>
            <w:tcW w:w="1270" w:type="pct"/>
            <w:vAlign w:val="center"/>
          </w:tcPr>
          <w:p w14:paraId="05850D05"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lastRenderedPageBreak/>
              <w:t>项目</w:t>
            </w:r>
          </w:p>
        </w:tc>
        <w:tc>
          <w:tcPr>
            <w:tcW w:w="2541" w:type="pct"/>
            <w:vAlign w:val="center"/>
          </w:tcPr>
          <w:p w14:paraId="5C51332F" w14:textId="31C72C3C"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201</w:t>
            </w:r>
            <w:r w:rsidR="00B631F9">
              <w:rPr>
                <w:rFonts w:hint="eastAsia"/>
                <w:bCs/>
                <w:color w:val="000000"/>
                <w:sz w:val="24"/>
                <w:shd w:val="clear" w:color="auto" w:fill="FFFFFF"/>
              </w:rPr>
              <w:t>9</w:t>
            </w:r>
            <w:r w:rsidRPr="00B662B3">
              <w:rPr>
                <w:bCs/>
                <w:color w:val="000000"/>
                <w:sz w:val="24"/>
                <w:shd w:val="clear" w:color="auto" w:fill="FFFFFF"/>
              </w:rPr>
              <w:t>年</w:t>
            </w:r>
            <w:r w:rsidR="00166F22">
              <w:rPr>
                <w:bCs/>
                <w:color w:val="000000"/>
                <w:sz w:val="24"/>
                <w:shd w:val="clear" w:color="auto" w:fill="FFFFFF"/>
              </w:rPr>
              <w:t>12</w:t>
            </w:r>
            <w:r w:rsidRPr="00B662B3">
              <w:rPr>
                <w:bCs/>
                <w:color w:val="000000"/>
                <w:sz w:val="24"/>
                <w:shd w:val="clear" w:color="auto" w:fill="FFFFFF"/>
              </w:rPr>
              <w:t>月</w:t>
            </w:r>
            <w:r w:rsidR="00166F22">
              <w:rPr>
                <w:bCs/>
                <w:color w:val="000000"/>
                <w:sz w:val="24"/>
                <w:shd w:val="clear" w:color="auto" w:fill="FFFFFF"/>
              </w:rPr>
              <w:t>31</w:t>
            </w:r>
            <w:r w:rsidRPr="00B662B3">
              <w:rPr>
                <w:bCs/>
                <w:color w:val="000000"/>
                <w:sz w:val="24"/>
                <w:shd w:val="clear" w:color="auto" w:fill="FFFFFF"/>
              </w:rPr>
              <w:t>日</w:t>
            </w:r>
            <w:r w:rsidRPr="00B662B3">
              <w:rPr>
                <w:bCs/>
                <w:color w:val="000000"/>
                <w:sz w:val="24"/>
                <w:shd w:val="clear" w:color="auto" w:fill="FFFFFF"/>
              </w:rPr>
              <w:t>/201</w:t>
            </w:r>
            <w:r w:rsidR="00B631F9">
              <w:rPr>
                <w:rFonts w:hint="eastAsia"/>
                <w:bCs/>
                <w:color w:val="000000"/>
                <w:sz w:val="24"/>
                <w:shd w:val="clear" w:color="auto" w:fill="FFFFFF"/>
              </w:rPr>
              <w:t>9</w:t>
            </w:r>
            <w:r w:rsidR="00E70F7E" w:rsidRPr="00B662B3">
              <w:rPr>
                <w:bCs/>
                <w:color w:val="000000"/>
                <w:sz w:val="24"/>
                <w:shd w:val="clear" w:color="auto" w:fill="FFFFFF"/>
              </w:rPr>
              <w:t>年度</w:t>
            </w:r>
          </w:p>
        </w:tc>
      </w:tr>
      <w:tr w:rsidR="003C3148" w:rsidRPr="00B662B3" w14:paraId="1BC315D5" w14:textId="77777777" w:rsidTr="00B662B3">
        <w:trPr>
          <w:trHeight w:val="340"/>
          <w:jc w:val="center"/>
        </w:trPr>
        <w:tc>
          <w:tcPr>
            <w:tcW w:w="1189" w:type="pct"/>
            <w:vMerge/>
            <w:vAlign w:val="center"/>
          </w:tcPr>
          <w:p w14:paraId="6386C0B3" w14:textId="77777777" w:rsidR="003C3148" w:rsidRPr="00B662B3" w:rsidRDefault="003C3148" w:rsidP="008778A4">
            <w:pPr>
              <w:jc w:val="center"/>
              <w:rPr>
                <w:bCs/>
                <w:color w:val="000000"/>
                <w:sz w:val="24"/>
                <w:shd w:val="clear" w:color="auto" w:fill="FFFFFF"/>
              </w:rPr>
            </w:pPr>
          </w:p>
        </w:tc>
        <w:tc>
          <w:tcPr>
            <w:tcW w:w="1270" w:type="pct"/>
            <w:vAlign w:val="center"/>
          </w:tcPr>
          <w:p w14:paraId="439B83B8"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总资产</w:t>
            </w:r>
          </w:p>
        </w:tc>
        <w:tc>
          <w:tcPr>
            <w:tcW w:w="2541" w:type="pct"/>
            <w:vAlign w:val="center"/>
          </w:tcPr>
          <w:p w14:paraId="40190AE0" w14:textId="6509000C" w:rsidR="003C3148" w:rsidRPr="00B662B3" w:rsidRDefault="00B631F9" w:rsidP="008778A4">
            <w:pPr>
              <w:jc w:val="right"/>
              <w:rPr>
                <w:bCs/>
                <w:color w:val="000000"/>
                <w:sz w:val="24"/>
                <w:shd w:val="clear" w:color="auto" w:fill="FFFFFF"/>
              </w:rPr>
            </w:pPr>
            <w:r>
              <w:rPr>
                <w:rFonts w:hint="eastAsia"/>
                <w:sz w:val="24"/>
                <w:szCs w:val="28"/>
              </w:rPr>
              <w:t>34</w:t>
            </w:r>
            <w:r>
              <w:rPr>
                <w:sz w:val="24"/>
                <w:szCs w:val="28"/>
              </w:rPr>
              <w:t>,</w:t>
            </w:r>
            <w:r>
              <w:rPr>
                <w:rFonts w:hint="eastAsia"/>
                <w:sz w:val="24"/>
                <w:szCs w:val="28"/>
              </w:rPr>
              <w:t>088.13</w:t>
            </w:r>
          </w:p>
        </w:tc>
      </w:tr>
      <w:tr w:rsidR="003C3148" w:rsidRPr="00B662B3" w14:paraId="2983F909" w14:textId="77777777" w:rsidTr="00B662B3">
        <w:trPr>
          <w:trHeight w:val="340"/>
          <w:jc w:val="center"/>
        </w:trPr>
        <w:tc>
          <w:tcPr>
            <w:tcW w:w="1189" w:type="pct"/>
            <w:vMerge/>
            <w:vAlign w:val="center"/>
          </w:tcPr>
          <w:p w14:paraId="262959C8" w14:textId="77777777" w:rsidR="003C3148" w:rsidRPr="00B662B3" w:rsidRDefault="003C3148" w:rsidP="008778A4">
            <w:pPr>
              <w:jc w:val="center"/>
              <w:rPr>
                <w:bCs/>
                <w:color w:val="000000"/>
                <w:sz w:val="24"/>
                <w:shd w:val="clear" w:color="auto" w:fill="FFFFFF"/>
              </w:rPr>
            </w:pPr>
          </w:p>
        </w:tc>
        <w:tc>
          <w:tcPr>
            <w:tcW w:w="1270" w:type="pct"/>
            <w:vAlign w:val="center"/>
          </w:tcPr>
          <w:p w14:paraId="1B66197C"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净资产</w:t>
            </w:r>
          </w:p>
        </w:tc>
        <w:tc>
          <w:tcPr>
            <w:tcW w:w="2541" w:type="pct"/>
            <w:vAlign w:val="center"/>
          </w:tcPr>
          <w:p w14:paraId="36EC7CFE" w14:textId="7AD979A1" w:rsidR="003C3148" w:rsidRPr="00B662B3" w:rsidRDefault="00166F22" w:rsidP="008778A4">
            <w:pPr>
              <w:jc w:val="right"/>
              <w:rPr>
                <w:bCs/>
                <w:color w:val="000000"/>
                <w:sz w:val="24"/>
                <w:shd w:val="clear" w:color="auto" w:fill="FFFFFF"/>
              </w:rPr>
            </w:pPr>
            <w:r>
              <w:rPr>
                <w:rFonts w:hint="eastAsia"/>
                <w:sz w:val="24"/>
                <w:szCs w:val="28"/>
              </w:rPr>
              <w:t>1</w:t>
            </w:r>
            <w:r>
              <w:rPr>
                <w:sz w:val="24"/>
                <w:szCs w:val="28"/>
              </w:rPr>
              <w:t>4,</w:t>
            </w:r>
            <w:r w:rsidR="00B631F9">
              <w:rPr>
                <w:sz w:val="24"/>
                <w:szCs w:val="28"/>
              </w:rPr>
              <w:t>809.87</w:t>
            </w:r>
          </w:p>
        </w:tc>
      </w:tr>
      <w:tr w:rsidR="003C3148" w:rsidRPr="00B662B3" w14:paraId="29B6B6C4" w14:textId="77777777" w:rsidTr="00B662B3">
        <w:trPr>
          <w:trHeight w:val="340"/>
          <w:jc w:val="center"/>
        </w:trPr>
        <w:tc>
          <w:tcPr>
            <w:tcW w:w="1189" w:type="pct"/>
            <w:vMerge/>
            <w:vAlign w:val="center"/>
          </w:tcPr>
          <w:p w14:paraId="46F5A32A" w14:textId="77777777" w:rsidR="003C3148" w:rsidRPr="00B662B3" w:rsidRDefault="003C3148" w:rsidP="008778A4">
            <w:pPr>
              <w:jc w:val="center"/>
              <w:rPr>
                <w:bCs/>
                <w:color w:val="000000"/>
                <w:sz w:val="24"/>
                <w:shd w:val="clear" w:color="auto" w:fill="FFFFFF"/>
              </w:rPr>
            </w:pPr>
          </w:p>
        </w:tc>
        <w:tc>
          <w:tcPr>
            <w:tcW w:w="1270" w:type="pct"/>
            <w:vAlign w:val="center"/>
          </w:tcPr>
          <w:p w14:paraId="58815461"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营业收入</w:t>
            </w:r>
          </w:p>
        </w:tc>
        <w:tc>
          <w:tcPr>
            <w:tcW w:w="2541" w:type="pct"/>
            <w:vAlign w:val="center"/>
          </w:tcPr>
          <w:p w14:paraId="748EEA12" w14:textId="0DF3AD05" w:rsidR="003C3148" w:rsidRPr="00B662B3" w:rsidRDefault="00166F22" w:rsidP="008778A4">
            <w:pPr>
              <w:jc w:val="right"/>
              <w:rPr>
                <w:bCs/>
                <w:color w:val="000000"/>
                <w:sz w:val="24"/>
                <w:shd w:val="clear" w:color="auto" w:fill="FFFFFF"/>
              </w:rPr>
            </w:pPr>
            <w:r>
              <w:rPr>
                <w:rFonts w:hint="eastAsia"/>
                <w:sz w:val="24"/>
                <w:szCs w:val="28"/>
              </w:rPr>
              <w:t>2</w:t>
            </w:r>
            <w:r>
              <w:rPr>
                <w:sz w:val="24"/>
                <w:szCs w:val="28"/>
              </w:rPr>
              <w:t>8</w:t>
            </w:r>
            <w:r w:rsidR="00B631F9">
              <w:rPr>
                <w:sz w:val="24"/>
                <w:szCs w:val="28"/>
              </w:rPr>
              <w:t>,345.82</w:t>
            </w:r>
          </w:p>
        </w:tc>
      </w:tr>
      <w:tr w:rsidR="003C3148" w:rsidRPr="00B662B3" w14:paraId="3185A72F" w14:textId="77777777" w:rsidTr="00B662B3">
        <w:trPr>
          <w:trHeight w:val="340"/>
          <w:jc w:val="center"/>
        </w:trPr>
        <w:tc>
          <w:tcPr>
            <w:tcW w:w="1189" w:type="pct"/>
            <w:vMerge/>
            <w:vAlign w:val="center"/>
          </w:tcPr>
          <w:p w14:paraId="618E4B5A" w14:textId="77777777" w:rsidR="003C3148" w:rsidRPr="00B662B3" w:rsidRDefault="003C3148" w:rsidP="008778A4">
            <w:pPr>
              <w:jc w:val="center"/>
              <w:rPr>
                <w:bCs/>
                <w:color w:val="000000"/>
                <w:sz w:val="24"/>
                <w:shd w:val="clear" w:color="auto" w:fill="FFFFFF"/>
              </w:rPr>
            </w:pPr>
          </w:p>
        </w:tc>
        <w:tc>
          <w:tcPr>
            <w:tcW w:w="1270" w:type="pct"/>
            <w:vAlign w:val="center"/>
          </w:tcPr>
          <w:p w14:paraId="2AEDA6D8" w14:textId="77777777" w:rsidR="003C3148" w:rsidRPr="00B662B3" w:rsidRDefault="003C3148" w:rsidP="008778A4">
            <w:pPr>
              <w:jc w:val="center"/>
              <w:rPr>
                <w:bCs/>
                <w:color w:val="000000"/>
                <w:sz w:val="24"/>
                <w:shd w:val="clear" w:color="auto" w:fill="FFFFFF"/>
              </w:rPr>
            </w:pPr>
            <w:r w:rsidRPr="00B662B3">
              <w:rPr>
                <w:bCs/>
                <w:color w:val="000000"/>
                <w:sz w:val="24"/>
                <w:shd w:val="clear" w:color="auto" w:fill="FFFFFF"/>
              </w:rPr>
              <w:t>净利润</w:t>
            </w:r>
          </w:p>
        </w:tc>
        <w:tc>
          <w:tcPr>
            <w:tcW w:w="2541" w:type="pct"/>
            <w:vAlign w:val="center"/>
          </w:tcPr>
          <w:p w14:paraId="7A267C90" w14:textId="362D0C02" w:rsidR="003C3148" w:rsidRPr="00B662B3" w:rsidRDefault="00B631F9" w:rsidP="008778A4">
            <w:pPr>
              <w:jc w:val="right"/>
              <w:rPr>
                <w:bCs/>
                <w:color w:val="000000"/>
                <w:sz w:val="24"/>
                <w:shd w:val="clear" w:color="auto" w:fill="FFFFFF"/>
              </w:rPr>
            </w:pPr>
            <w:r>
              <w:rPr>
                <w:sz w:val="24"/>
                <w:szCs w:val="28"/>
              </w:rPr>
              <w:t>657.08</w:t>
            </w:r>
          </w:p>
        </w:tc>
      </w:tr>
    </w:tbl>
    <w:p w14:paraId="143903C3" w14:textId="1EEBB08B" w:rsidR="00B631F9" w:rsidRPr="00B662B3" w:rsidRDefault="00B631F9" w:rsidP="00B631F9">
      <w:pPr>
        <w:adjustRightInd w:val="0"/>
        <w:spacing w:line="600" w:lineRule="exact"/>
        <w:ind w:firstLineChars="200" w:firstLine="560"/>
        <w:jc w:val="left"/>
        <w:rPr>
          <w:bCs/>
          <w:sz w:val="28"/>
          <w:szCs w:val="28"/>
        </w:rPr>
      </w:pPr>
      <w:r>
        <w:rPr>
          <w:rFonts w:hint="eastAsia"/>
          <w:bCs/>
          <w:sz w:val="28"/>
          <w:szCs w:val="28"/>
        </w:rPr>
        <w:t>3</w:t>
      </w:r>
      <w:r>
        <w:rPr>
          <w:rFonts w:hint="eastAsia"/>
          <w:bCs/>
          <w:sz w:val="28"/>
          <w:szCs w:val="28"/>
        </w:rPr>
        <w:t>、</w:t>
      </w:r>
      <w:r w:rsidRPr="00B631F9">
        <w:rPr>
          <w:rFonts w:hint="eastAsia"/>
          <w:bCs/>
          <w:sz w:val="28"/>
          <w:szCs w:val="28"/>
        </w:rPr>
        <w:t>西安迅腾科技有限责任公司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8"/>
        <w:gridCol w:w="2102"/>
        <w:gridCol w:w="4206"/>
      </w:tblGrid>
      <w:tr w:rsidR="00B631F9" w:rsidRPr="00B662B3" w14:paraId="6AFBD75D" w14:textId="77777777" w:rsidTr="00DE5BA2">
        <w:trPr>
          <w:trHeight w:val="340"/>
          <w:jc w:val="center"/>
        </w:trPr>
        <w:tc>
          <w:tcPr>
            <w:tcW w:w="1189" w:type="pct"/>
            <w:vAlign w:val="center"/>
          </w:tcPr>
          <w:p w14:paraId="6A52082F"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公司名称</w:t>
            </w:r>
          </w:p>
        </w:tc>
        <w:tc>
          <w:tcPr>
            <w:tcW w:w="3811" w:type="pct"/>
            <w:gridSpan w:val="2"/>
            <w:vAlign w:val="center"/>
          </w:tcPr>
          <w:p w14:paraId="6810E3B0" w14:textId="042A2C45" w:rsidR="00B631F9" w:rsidRPr="00B662B3" w:rsidRDefault="00B631F9" w:rsidP="00DE5BA2">
            <w:pPr>
              <w:rPr>
                <w:bCs/>
                <w:color w:val="000000"/>
                <w:sz w:val="24"/>
                <w:shd w:val="clear" w:color="auto" w:fill="FFFFFF"/>
              </w:rPr>
            </w:pPr>
            <w:r w:rsidRPr="00B631F9">
              <w:rPr>
                <w:rFonts w:hint="eastAsia"/>
                <w:kern w:val="0"/>
                <w:sz w:val="24"/>
              </w:rPr>
              <w:t>西安迅腾科技有限责任公司</w:t>
            </w:r>
          </w:p>
        </w:tc>
      </w:tr>
      <w:tr w:rsidR="00B631F9" w:rsidRPr="00B662B3" w14:paraId="39C05FC8" w14:textId="77777777" w:rsidTr="00DE5BA2">
        <w:trPr>
          <w:trHeight w:val="340"/>
          <w:jc w:val="center"/>
        </w:trPr>
        <w:tc>
          <w:tcPr>
            <w:tcW w:w="1189" w:type="pct"/>
            <w:vAlign w:val="center"/>
          </w:tcPr>
          <w:p w14:paraId="5A81F15C"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企业类型</w:t>
            </w:r>
          </w:p>
        </w:tc>
        <w:tc>
          <w:tcPr>
            <w:tcW w:w="3811" w:type="pct"/>
            <w:gridSpan w:val="2"/>
            <w:vAlign w:val="center"/>
          </w:tcPr>
          <w:p w14:paraId="461549E3" w14:textId="4293CCC1" w:rsidR="00B631F9" w:rsidRPr="00B662B3" w:rsidRDefault="00B631F9" w:rsidP="00DE5BA2">
            <w:pPr>
              <w:rPr>
                <w:bCs/>
                <w:color w:val="000000"/>
                <w:sz w:val="24"/>
                <w:shd w:val="clear" w:color="auto" w:fill="FFFFFF"/>
              </w:rPr>
            </w:pPr>
            <w:r w:rsidRPr="00B662B3">
              <w:rPr>
                <w:bCs/>
                <w:color w:val="000000"/>
                <w:sz w:val="24"/>
                <w:shd w:val="clear" w:color="auto" w:fill="FFFFFF"/>
              </w:rPr>
              <w:t>有限</w:t>
            </w:r>
            <w:r>
              <w:rPr>
                <w:rFonts w:hint="eastAsia"/>
                <w:bCs/>
                <w:color w:val="000000"/>
                <w:sz w:val="24"/>
                <w:shd w:val="clear" w:color="auto" w:fill="FFFFFF"/>
              </w:rPr>
              <w:t>责任</w:t>
            </w:r>
            <w:r w:rsidRPr="00B662B3">
              <w:rPr>
                <w:bCs/>
                <w:color w:val="000000"/>
                <w:sz w:val="24"/>
                <w:shd w:val="clear" w:color="auto" w:fill="FFFFFF"/>
              </w:rPr>
              <w:t>公司</w:t>
            </w:r>
          </w:p>
        </w:tc>
      </w:tr>
      <w:tr w:rsidR="00B631F9" w:rsidRPr="00B662B3" w14:paraId="2ACB6298" w14:textId="77777777" w:rsidTr="00DE5BA2">
        <w:trPr>
          <w:trHeight w:val="340"/>
          <w:jc w:val="center"/>
        </w:trPr>
        <w:tc>
          <w:tcPr>
            <w:tcW w:w="1189" w:type="pct"/>
            <w:vAlign w:val="center"/>
          </w:tcPr>
          <w:p w14:paraId="24275F17"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法定代表人</w:t>
            </w:r>
          </w:p>
        </w:tc>
        <w:tc>
          <w:tcPr>
            <w:tcW w:w="3811" w:type="pct"/>
            <w:gridSpan w:val="2"/>
            <w:vAlign w:val="center"/>
          </w:tcPr>
          <w:p w14:paraId="1577AA42" w14:textId="537C0A3F" w:rsidR="00B631F9" w:rsidRPr="00B662B3" w:rsidRDefault="00B631F9" w:rsidP="00DE5BA2">
            <w:pPr>
              <w:rPr>
                <w:bCs/>
                <w:color w:val="000000"/>
                <w:sz w:val="24"/>
                <w:shd w:val="clear" w:color="auto" w:fill="FFFFFF"/>
              </w:rPr>
            </w:pPr>
            <w:r w:rsidRPr="00B631F9">
              <w:rPr>
                <w:rFonts w:hint="eastAsia"/>
                <w:bCs/>
                <w:color w:val="000000"/>
                <w:sz w:val="24"/>
                <w:shd w:val="clear" w:color="auto" w:fill="FFFFFF"/>
              </w:rPr>
              <w:t>解昌翰</w:t>
            </w:r>
          </w:p>
        </w:tc>
      </w:tr>
      <w:tr w:rsidR="00B631F9" w:rsidRPr="00B662B3" w14:paraId="4702D39A" w14:textId="77777777" w:rsidTr="00DE5BA2">
        <w:trPr>
          <w:trHeight w:val="340"/>
          <w:jc w:val="center"/>
        </w:trPr>
        <w:tc>
          <w:tcPr>
            <w:tcW w:w="1189" w:type="pct"/>
            <w:vAlign w:val="center"/>
          </w:tcPr>
          <w:p w14:paraId="57923909"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注册资本</w:t>
            </w:r>
          </w:p>
        </w:tc>
        <w:tc>
          <w:tcPr>
            <w:tcW w:w="3811" w:type="pct"/>
            <w:gridSpan w:val="2"/>
            <w:vAlign w:val="center"/>
          </w:tcPr>
          <w:p w14:paraId="1FA2E39D" w14:textId="51614602" w:rsidR="00B631F9" w:rsidRPr="00B662B3" w:rsidRDefault="00B631F9" w:rsidP="00DE5BA2">
            <w:pPr>
              <w:rPr>
                <w:bCs/>
                <w:color w:val="000000"/>
                <w:sz w:val="24"/>
                <w:shd w:val="clear" w:color="auto" w:fill="FFFFFF"/>
              </w:rPr>
            </w:pPr>
            <w:r w:rsidRPr="00B631F9">
              <w:rPr>
                <w:rFonts w:hint="eastAsia"/>
                <w:bCs/>
                <w:color w:val="000000"/>
                <w:sz w:val="24"/>
                <w:shd w:val="clear" w:color="auto" w:fill="FFFFFF"/>
              </w:rPr>
              <w:t>3,000.00</w:t>
            </w:r>
            <w:r w:rsidRPr="00B631F9">
              <w:rPr>
                <w:rFonts w:hint="eastAsia"/>
                <w:bCs/>
                <w:color w:val="000000"/>
                <w:sz w:val="24"/>
                <w:shd w:val="clear" w:color="auto" w:fill="FFFFFF"/>
              </w:rPr>
              <w:t>万元</w:t>
            </w:r>
          </w:p>
        </w:tc>
      </w:tr>
      <w:tr w:rsidR="00B631F9" w:rsidRPr="00B662B3" w14:paraId="2384976B" w14:textId="77777777" w:rsidTr="00DE5BA2">
        <w:trPr>
          <w:trHeight w:val="340"/>
          <w:jc w:val="center"/>
        </w:trPr>
        <w:tc>
          <w:tcPr>
            <w:tcW w:w="1189" w:type="pct"/>
            <w:vAlign w:val="center"/>
          </w:tcPr>
          <w:p w14:paraId="527CA56B"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成立日期</w:t>
            </w:r>
          </w:p>
        </w:tc>
        <w:tc>
          <w:tcPr>
            <w:tcW w:w="3811" w:type="pct"/>
            <w:gridSpan w:val="2"/>
            <w:vAlign w:val="center"/>
          </w:tcPr>
          <w:p w14:paraId="12E2D7FC" w14:textId="5C42E10A" w:rsidR="00B631F9" w:rsidRPr="00B662B3" w:rsidRDefault="00B631F9" w:rsidP="00DE5BA2">
            <w:pPr>
              <w:rPr>
                <w:bCs/>
                <w:color w:val="000000"/>
                <w:sz w:val="24"/>
                <w:shd w:val="clear" w:color="auto" w:fill="FFFFFF"/>
              </w:rPr>
            </w:pPr>
            <w:r w:rsidRPr="00B631F9">
              <w:rPr>
                <w:rFonts w:hint="eastAsia"/>
                <w:bCs/>
                <w:color w:val="000000"/>
                <w:sz w:val="24"/>
                <w:shd w:val="clear" w:color="auto" w:fill="FFFFFF"/>
              </w:rPr>
              <w:t>2004</w:t>
            </w:r>
            <w:r w:rsidRPr="00B631F9">
              <w:rPr>
                <w:rFonts w:hint="eastAsia"/>
                <w:bCs/>
                <w:color w:val="000000"/>
                <w:sz w:val="24"/>
                <w:shd w:val="clear" w:color="auto" w:fill="FFFFFF"/>
              </w:rPr>
              <w:t>年</w:t>
            </w:r>
            <w:r w:rsidRPr="00B631F9">
              <w:rPr>
                <w:rFonts w:hint="eastAsia"/>
                <w:bCs/>
                <w:color w:val="000000"/>
                <w:sz w:val="24"/>
                <w:shd w:val="clear" w:color="auto" w:fill="FFFFFF"/>
              </w:rPr>
              <w:t>8</w:t>
            </w:r>
            <w:r w:rsidRPr="00B631F9">
              <w:rPr>
                <w:rFonts w:hint="eastAsia"/>
                <w:bCs/>
                <w:color w:val="000000"/>
                <w:sz w:val="24"/>
                <w:shd w:val="clear" w:color="auto" w:fill="FFFFFF"/>
              </w:rPr>
              <w:t>月</w:t>
            </w:r>
            <w:r w:rsidRPr="00B631F9">
              <w:rPr>
                <w:rFonts w:hint="eastAsia"/>
                <w:bCs/>
                <w:color w:val="000000"/>
                <w:sz w:val="24"/>
                <w:shd w:val="clear" w:color="auto" w:fill="FFFFFF"/>
              </w:rPr>
              <w:t>17</w:t>
            </w:r>
            <w:r w:rsidRPr="00B631F9">
              <w:rPr>
                <w:rFonts w:hint="eastAsia"/>
                <w:bCs/>
                <w:color w:val="000000"/>
                <w:sz w:val="24"/>
                <w:shd w:val="clear" w:color="auto" w:fill="FFFFFF"/>
              </w:rPr>
              <w:t>日</w:t>
            </w:r>
          </w:p>
        </w:tc>
      </w:tr>
      <w:tr w:rsidR="00B631F9" w:rsidRPr="00B662B3" w14:paraId="2A415451" w14:textId="77777777" w:rsidTr="00DE5BA2">
        <w:trPr>
          <w:trHeight w:val="340"/>
          <w:jc w:val="center"/>
        </w:trPr>
        <w:tc>
          <w:tcPr>
            <w:tcW w:w="1189" w:type="pct"/>
            <w:vAlign w:val="center"/>
          </w:tcPr>
          <w:p w14:paraId="30B1B88B"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注册地址及主要生产经营地</w:t>
            </w:r>
          </w:p>
        </w:tc>
        <w:tc>
          <w:tcPr>
            <w:tcW w:w="3811" w:type="pct"/>
            <w:gridSpan w:val="2"/>
            <w:vAlign w:val="center"/>
          </w:tcPr>
          <w:p w14:paraId="2D0169B7" w14:textId="74A8BFE6" w:rsidR="00B631F9" w:rsidRPr="00B662B3" w:rsidRDefault="00B631F9" w:rsidP="00DE5BA2">
            <w:pPr>
              <w:rPr>
                <w:bCs/>
                <w:color w:val="000000"/>
                <w:sz w:val="24"/>
                <w:shd w:val="clear" w:color="auto" w:fill="FFFFFF"/>
              </w:rPr>
            </w:pPr>
            <w:r w:rsidRPr="00B631F9">
              <w:rPr>
                <w:rFonts w:hint="eastAsia"/>
                <w:bCs/>
                <w:color w:val="000000"/>
                <w:sz w:val="24"/>
                <w:shd w:val="clear" w:color="auto" w:fill="FFFFFF"/>
              </w:rPr>
              <w:t>西安市高新区锦业路</w:t>
            </w:r>
            <w:r w:rsidRPr="00B631F9">
              <w:rPr>
                <w:rFonts w:hint="eastAsia"/>
                <w:bCs/>
                <w:color w:val="000000"/>
                <w:sz w:val="24"/>
                <w:shd w:val="clear" w:color="auto" w:fill="FFFFFF"/>
              </w:rPr>
              <w:t>69</w:t>
            </w:r>
            <w:r w:rsidRPr="00B631F9">
              <w:rPr>
                <w:rFonts w:hint="eastAsia"/>
                <w:bCs/>
                <w:color w:val="000000"/>
                <w:sz w:val="24"/>
                <w:shd w:val="clear" w:color="auto" w:fill="FFFFFF"/>
              </w:rPr>
              <w:t>号创新商务公寓</w:t>
            </w:r>
            <w:r w:rsidRPr="00B631F9">
              <w:rPr>
                <w:rFonts w:hint="eastAsia"/>
                <w:bCs/>
                <w:color w:val="000000"/>
                <w:sz w:val="24"/>
                <w:shd w:val="clear" w:color="auto" w:fill="FFFFFF"/>
              </w:rPr>
              <w:t>3</w:t>
            </w:r>
            <w:r w:rsidRPr="00B631F9">
              <w:rPr>
                <w:rFonts w:hint="eastAsia"/>
                <w:bCs/>
                <w:color w:val="000000"/>
                <w:sz w:val="24"/>
                <w:shd w:val="clear" w:color="auto" w:fill="FFFFFF"/>
              </w:rPr>
              <w:t>号楼</w:t>
            </w:r>
            <w:r w:rsidRPr="00B631F9">
              <w:rPr>
                <w:rFonts w:hint="eastAsia"/>
                <w:bCs/>
                <w:color w:val="000000"/>
                <w:sz w:val="24"/>
                <w:shd w:val="clear" w:color="auto" w:fill="FFFFFF"/>
              </w:rPr>
              <w:t>10413</w:t>
            </w:r>
            <w:r w:rsidRPr="00B631F9">
              <w:rPr>
                <w:rFonts w:hint="eastAsia"/>
                <w:bCs/>
                <w:color w:val="000000"/>
                <w:sz w:val="24"/>
                <w:shd w:val="clear" w:color="auto" w:fill="FFFFFF"/>
              </w:rPr>
              <w:t>室</w:t>
            </w:r>
          </w:p>
        </w:tc>
      </w:tr>
      <w:tr w:rsidR="00B631F9" w:rsidRPr="00B662B3" w14:paraId="1D5E35F4" w14:textId="77777777" w:rsidTr="00DE5BA2">
        <w:trPr>
          <w:trHeight w:val="340"/>
          <w:jc w:val="center"/>
        </w:trPr>
        <w:tc>
          <w:tcPr>
            <w:tcW w:w="1189" w:type="pct"/>
            <w:vAlign w:val="center"/>
          </w:tcPr>
          <w:p w14:paraId="274C822A"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主营业务</w:t>
            </w:r>
          </w:p>
        </w:tc>
        <w:tc>
          <w:tcPr>
            <w:tcW w:w="3811" w:type="pct"/>
            <w:gridSpan w:val="2"/>
            <w:vAlign w:val="center"/>
          </w:tcPr>
          <w:p w14:paraId="3D2A5DD3" w14:textId="685D9B00" w:rsidR="00B631F9" w:rsidRPr="00B662B3" w:rsidRDefault="00B631F9" w:rsidP="00DE5BA2">
            <w:pPr>
              <w:rPr>
                <w:bCs/>
                <w:color w:val="000000"/>
                <w:sz w:val="24"/>
                <w:shd w:val="clear" w:color="auto" w:fill="FFFFFF"/>
              </w:rPr>
            </w:pPr>
            <w:r w:rsidRPr="00B631F9">
              <w:rPr>
                <w:rFonts w:hint="eastAsia"/>
                <w:bCs/>
                <w:color w:val="000000"/>
                <w:sz w:val="24"/>
                <w:shd w:val="clear" w:color="auto" w:fill="FFFFFF"/>
              </w:rPr>
              <w:t>水资源信息化解决方案和产品服务提供商</w:t>
            </w:r>
          </w:p>
        </w:tc>
      </w:tr>
      <w:tr w:rsidR="00B631F9" w:rsidRPr="00B662B3" w14:paraId="7320B3D5" w14:textId="77777777" w:rsidTr="00DE5BA2">
        <w:trPr>
          <w:trHeight w:val="340"/>
          <w:jc w:val="center"/>
        </w:trPr>
        <w:tc>
          <w:tcPr>
            <w:tcW w:w="1189" w:type="pct"/>
            <w:vAlign w:val="center"/>
          </w:tcPr>
          <w:p w14:paraId="4248A45D"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主要股东</w:t>
            </w:r>
          </w:p>
        </w:tc>
        <w:tc>
          <w:tcPr>
            <w:tcW w:w="3811" w:type="pct"/>
            <w:gridSpan w:val="2"/>
            <w:vAlign w:val="center"/>
          </w:tcPr>
          <w:p w14:paraId="77D64BA3" w14:textId="09C46680" w:rsidR="00B631F9" w:rsidRPr="00B662B3" w:rsidRDefault="00B631F9" w:rsidP="00DE5BA2">
            <w:pPr>
              <w:rPr>
                <w:bCs/>
                <w:color w:val="000000"/>
                <w:sz w:val="24"/>
                <w:shd w:val="clear" w:color="auto" w:fill="FFFFFF"/>
              </w:rPr>
            </w:pPr>
            <w:r>
              <w:rPr>
                <w:rFonts w:hint="eastAsia"/>
                <w:sz w:val="24"/>
                <w:szCs w:val="28"/>
              </w:rPr>
              <w:t>解昌翰、深圳市有方科技股份有限公司、</w:t>
            </w:r>
            <w:r w:rsidRPr="003310AA">
              <w:rPr>
                <w:sz w:val="24"/>
                <w:szCs w:val="28"/>
              </w:rPr>
              <w:t>西安祥翰捷腾企业管理合伙企业（有限合伙）</w:t>
            </w:r>
            <w:r w:rsidRPr="00B662B3">
              <w:rPr>
                <w:bCs/>
                <w:color w:val="000000"/>
                <w:sz w:val="24"/>
                <w:shd w:val="clear" w:color="auto" w:fill="FFFFFF"/>
              </w:rPr>
              <w:t>等</w:t>
            </w:r>
          </w:p>
        </w:tc>
      </w:tr>
      <w:tr w:rsidR="00B631F9" w:rsidRPr="00B662B3" w14:paraId="135272E2" w14:textId="77777777" w:rsidTr="00DE5BA2">
        <w:trPr>
          <w:trHeight w:val="340"/>
          <w:jc w:val="center"/>
        </w:trPr>
        <w:tc>
          <w:tcPr>
            <w:tcW w:w="1189" w:type="pct"/>
            <w:vMerge w:val="restart"/>
            <w:vAlign w:val="center"/>
          </w:tcPr>
          <w:p w14:paraId="489FE9E4" w14:textId="25BB26F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主要财务数据（万元）</w:t>
            </w:r>
            <w:r w:rsidR="001B131C" w:rsidRPr="00B662B3">
              <w:rPr>
                <w:bCs/>
                <w:color w:val="000000"/>
                <w:sz w:val="24"/>
                <w:shd w:val="clear" w:color="auto" w:fill="FFFFFF"/>
              </w:rPr>
              <w:t>（未经审计）</w:t>
            </w:r>
            <w:bookmarkStart w:id="0" w:name="_GoBack"/>
            <w:bookmarkEnd w:id="0"/>
          </w:p>
        </w:tc>
        <w:tc>
          <w:tcPr>
            <w:tcW w:w="1270" w:type="pct"/>
            <w:vAlign w:val="center"/>
          </w:tcPr>
          <w:p w14:paraId="39DC9EE1"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项目</w:t>
            </w:r>
          </w:p>
        </w:tc>
        <w:tc>
          <w:tcPr>
            <w:tcW w:w="2541" w:type="pct"/>
            <w:vAlign w:val="center"/>
          </w:tcPr>
          <w:p w14:paraId="5FC7E96A" w14:textId="03927EB0"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20</w:t>
            </w:r>
            <w:r w:rsidR="004B6661">
              <w:rPr>
                <w:rFonts w:hint="eastAsia"/>
                <w:bCs/>
                <w:color w:val="000000"/>
                <w:sz w:val="24"/>
                <w:shd w:val="clear" w:color="auto" w:fill="FFFFFF"/>
              </w:rPr>
              <w:t>20</w:t>
            </w:r>
            <w:r w:rsidRPr="00B662B3">
              <w:rPr>
                <w:bCs/>
                <w:color w:val="000000"/>
                <w:sz w:val="24"/>
                <w:shd w:val="clear" w:color="auto" w:fill="FFFFFF"/>
              </w:rPr>
              <w:t>年</w:t>
            </w:r>
            <w:r>
              <w:rPr>
                <w:bCs/>
                <w:color w:val="000000"/>
                <w:sz w:val="24"/>
                <w:shd w:val="clear" w:color="auto" w:fill="FFFFFF"/>
              </w:rPr>
              <w:t>12</w:t>
            </w:r>
            <w:r w:rsidRPr="00B662B3">
              <w:rPr>
                <w:bCs/>
                <w:color w:val="000000"/>
                <w:sz w:val="24"/>
                <w:shd w:val="clear" w:color="auto" w:fill="FFFFFF"/>
              </w:rPr>
              <w:t>月</w:t>
            </w:r>
            <w:r>
              <w:rPr>
                <w:bCs/>
                <w:color w:val="000000"/>
                <w:sz w:val="24"/>
                <w:shd w:val="clear" w:color="auto" w:fill="FFFFFF"/>
              </w:rPr>
              <w:t>31</w:t>
            </w:r>
            <w:r w:rsidRPr="00B662B3">
              <w:rPr>
                <w:bCs/>
                <w:color w:val="000000"/>
                <w:sz w:val="24"/>
                <w:shd w:val="clear" w:color="auto" w:fill="FFFFFF"/>
              </w:rPr>
              <w:t>日</w:t>
            </w:r>
            <w:r w:rsidRPr="00B662B3">
              <w:rPr>
                <w:bCs/>
                <w:color w:val="000000"/>
                <w:sz w:val="24"/>
                <w:shd w:val="clear" w:color="auto" w:fill="FFFFFF"/>
              </w:rPr>
              <w:t>/20</w:t>
            </w:r>
            <w:r w:rsidR="004B6661">
              <w:rPr>
                <w:rFonts w:hint="eastAsia"/>
                <w:bCs/>
                <w:color w:val="000000"/>
                <w:sz w:val="24"/>
                <w:shd w:val="clear" w:color="auto" w:fill="FFFFFF"/>
              </w:rPr>
              <w:t>20</w:t>
            </w:r>
            <w:r w:rsidRPr="00B662B3">
              <w:rPr>
                <w:bCs/>
                <w:color w:val="000000"/>
                <w:sz w:val="24"/>
                <w:shd w:val="clear" w:color="auto" w:fill="FFFFFF"/>
              </w:rPr>
              <w:t>年度</w:t>
            </w:r>
          </w:p>
        </w:tc>
      </w:tr>
      <w:tr w:rsidR="00B631F9" w:rsidRPr="00B662B3" w14:paraId="4A6573DA" w14:textId="77777777" w:rsidTr="00DE5BA2">
        <w:trPr>
          <w:trHeight w:val="340"/>
          <w:jc w:val="center"/>
        </w:trPr>
        <w:tc>
          <w:tcPr>
            <w:tcW w:w="1189" w:type="pct"/>
            <w:vMerge/>
            <w:vAlign w:val="center"/>
          </w:tcPr>
          <w:p w14:paraId="5D0E06BD" w14:textId="77777777" w:rsidR="00B631F9" w:rsidRPr="00B662B3" w:rsidRDefault="00B631F9" w:rsidP="00DE5BA2">
            <w:pPr>
              <w:jc w:val="center"/>
              <w:rPr>
                <w:bCs/>
                <w:color w:val="000000"/>
                <w:sz w:val="24"/>
                <w:shd w:val="clear" w:color="auto" w:fill="FFFFFF"/>
              </w:rPr>
            </w:pPr>
          </w:p>
        </w:tc>
        <w:tc>
          <w:tcPr>
            <w:tcW w:w="1270" w:type="pct"/>
            <w:vAlign w:val="center"/>
          </w:tcPr>
          <w:p w14:paraId="7E257B2A"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总资产</w:t>
            </w:r>
          </w:p>
        </w:tc>
        <w:tc>
          <w:tcPr>
            <w:tcW w:w="2541" w:type="pct"/>
            <w:vAlign w:val="center"/>
          </w:tcPr>
          <w:p w14:paraId="7EF2F9C8" w14:textId="23B491DF" w:rsidR="00B631F9" w:rsidRPr="00B662B3" w:rsidRDefault="008234C7" w:rsidP="00DE5BA2">
            <w:pPr>
              <w:jc w:val="right"/>
              <w:rPr>
                <w:bCs/>
                <w:color w:val="000000"/>
                <w:sz w:val="24"/>
                <w:shd w:val="clear" w:color="auto" w:fill="FFFFFF"/>
              </w:rPr>
            </w:pPr>
            <w:r w:rsidRPr="008234C7">
              <w:rPr>
                <w:sz w:val="24"/>
                <w:szCs w:val="28"/>
              </w:rPr>
              <w:t>6,235.28</w:t>
            </w:r>
          </w:p>
        </w:tc>
      </w:tr>
      <w:tr w:rsidR="00B631F9" w:rsidRPr="00B662B3" w14:paraId="0B662108" w14:textId="77777777" w:rsidTr="00DE5BA2">
        <w:trPr>
          <w:trHeight w:val="340"/>
          <w:jc w:val="center"/>
        </w:trPr>
        <w:tc>
          <w:tcPr>
            <w:tcW w:w="1189" w:type="pct"/>
            <w:vMerge/>
            <w:vAlign w:val="center"/>
          </w:tcPr>
          <w:p w14:paraId="311A5853" w14:textId="77777777" w:rsidR="00B631F9" w:rsidRPr="00B662B3" w:rsidRDefault="00B631F9" w:rsidP="00DE5BA2">
            <w:pPr>
              <w:jc w:val="center"/>
              <w:rPr>
                <w:bCs/>
                <w:color w:val="000000"/>
                <w:sz w:val="24"/>
                <w:shd w:val="clear" w:color="auto" w:fill="FFFFFF"/>
              </w:rPr>
            </w:pPr>
          </w:p>
        </w:tc>
        <w:tc>
          <w:tcPr>
            <w:tcW w:w="1270" w:type="pct"/>
            <w:vAlign w:val="center"/>
          </w:tcPr>
          <w:p w14:paraId="5ABB31BB"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净资产</w:t>
            </w:r>
          </w:p>
        </w:tc>
        <w:tc>
          <w:tcPr>
            <w:tcW w:w="2541" w:type="pct"/>
            <w:vAlign w:val="center"/>
          </w:tcPr>
          <w:p w14:paraId="5A6FBB02" w14:textId="6060FD11" w:rsidR="00B631F9" w:rsidRPr="00B662B3" w:rsidRDefault="008234C7" w:rsidP="00DE5BA2">
            <w:pPr>
              <w:jc w:val="right"/>
              <w:rPr>
                <w:bCs/>
                <w:color w:val="000000"/>
                <w:sz w:val="24"/>
                <w:shd w:val="clear" w:color="auto" w:fill="FFFFFF"/>
              </w:rPr>
            </w:pPr>
            <w:r w:rsidRPr="008234C7">
              <w:rPr>
                <w:sz w:val="24"/>
                <w:szCs w:val="28"/>
              </w:rPr>
              <w:t>3,727.34</w:t>
            </w:r>
          </w:p>
        </w:tc>
      </w:tr>
      <w:tr w:rsidR="00B631F9" w:rsidRPr="00B662B3" w14:paraId="0A19F89D" w14:textId="77777777" w:rsidTr="00DE5BA2">
        <w:trPr>
          <w:trHeight w:val="340"/>
          <w:jc w:val="center"/>
        </w:trPr>
        <w:tc>
          <w:tcPr>
            <w:tcW w:w="1189" w:type="pct"/>
            <w:vMerge/>
            <w:vAlign w:val="center"/>
          </w:tcPr>
          <w:p w14:paraId="680DF98F" w14:textId="77777777" w:rsidR="00B631F9" w:rsidRPr="00B662B3" w:rsidRDefault="00B631F9" w:rsidP="00DE5BA2">
            <w:pPr>
              <w:jc w:val="center"/>
              <w:rPr>
                <w:bCs/>
                <w:color w:val="000000"/>
                <w:sz w:val="24"/>
                <w:shd w:val="clear" w:color="auto" w:fill="FFFFFF"/>
              </w:rPr>
            </w:pPr>
          </w:p>
        </w:tc>
        <w:tc>
          <w:tcPr>
            <w:tcW w:w="1270" w:type="pct"/>
            <w:vAlign w:val="center"/>
          </w:tcPr>
          <w:p w14:paraId="7B2BD1FD"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营业收入</w:t>
            </w:r>
          </w:p>
        </w:tc>
        <w:tc>
          <w:tcPr>
            <w:tcW w:w="2541" w:type="pct"/>
            <w:vAlign w:val="center"/>
          </w:tcPr>
          <w:p w14:paraId="5B23DE74" w14:textId="0F92AE44" w:rsidR="00B631F9" w:rsidRPr="00B662B3" w:rsidRDefault="008234C7" w:rsidP="00DE5BA2">
            <w:pPr>
              <w:jc w:val="right"/>
              <w:rPr>
                <w:bCs/>
                <w:color w:val="000000"/>
                <w:sz w:val="24"/>
                <w:shd w:val="clear" w:color="auto" w:fill="FFFFFF"/>
              </w:rPr>
            </w:pPr>
            <w:r w:rsidRPr="008234C7">
              <w:rPr>
                <w:sz w:val="24"/>
                <w:szCs w:val="28"/>
              </w:rPr>
              <w:t>4,061.15</w:t>
            </w:r>
          </w:p>
        </w:tc>
      </w:tr>
      <w:tr w:rsidR="00B631F9" w:rsidRPr="00B662B3" w14:paraId="5FFFDB33" w14:textId="77777777" w:rsidTr="00DE5BA2">
        <w:trPr>
          <w:trHeight w:val="340"/>
          <w:jc w:val="center"/>
        </w:trPr>
        <w:tc>
          <w:tcPr>
            <w:tcW w:w="1189" w:type="pct"/>
            <w:vMerge/>
            <w:vAlign w:val="center"/>
          </w:tcPr>
          <w:p w14:paraId="216344CD" w14:textId="77777777" w:rsidR="00B631F9" w:rsidRPr="00B662B3" w:rsidRDefault="00B631F9" w:rsidP="00DE5BA2">
            <w:pPr>
              <w:jc w:val="center"/>
              <w:rPr>
                <w:bCs/>
                <w:color w:val="000000"/>
                <w:sz w:val="24"/>
                <w:shd w:val="clear" w:color="auto" w:fill="FFFFFF"/>
              </w:rPr>
            </w:pPr>
          </w:p>
        </w:tc>
        <w:tc>
          <w:tcPr>
            <w:tcW w:w="1270" w:type="pct"/>
            <w:vAlign w:val="center"/>
          </w:tcPr>
          <w:p w14:paraId="785334ED" w14:textId="77777777" w:rsidR="00B631F9" w:rsidRPr="00B662B3" w:rsidRDefault="00B631F9" w:rsidP="00DE5BA2">
            <w:pPr>
              <w:jc w:val="center"/>
              <w:rPr>
                <w:bCs/>
                <w:color w:val="000000"/>
                <w:sz w:val="24"/>
                <w:shd w:val="clear" w:color="auto" w:fill="FFFFFF"/>
              </w:rPr>
            </w:pPr>
            <w:r w:rsidRPr="00B662B3">
              <w:rPr>
                <w:bCs/>
                <w:color w:val="000000"/>
                <w:sz w:val="24"/>
                <w:shd w:val="clear" w:color="auto" w:fill="FFFFFF"/>
              </w:rPr>
              <w:t>净利润</w:t>
            </w:r>
          </w:p>
        </w:tc>
        <w:tc>
          <w:tcPr>
            <w:tcW w:w="2541" w:type="pct"/>
            <w:vAlign w:val="center"/>
          </w:tcPr>
          <w:p w14:paraId="2B225ABD" w14:textId="66636A73" w:rsidR="00B631F9" w:rsidRPr="00B662B3" w:rsidRDefault="008234C7" w:rsidP="00DE5BA2">
            <w:pPr>
              <w:jc w:val="right"/>
              <w:rPr>
                <w:bCs/>
                <w:color w:val="000000"/>
                <w:sz w:val="24"/>
                <w:shd w:val="clear" w:color="auto" w:fill="FFFFFF"/>
              </w:rPr>
            </w:pPr>
            <w:r w:rsidRPr="008234C7">
              <w:rPr>
                <w:sz w:val="24"/>
                <w:szCs w:val="28"/>
              </w:rPr>
              <w:t>-669.11</w:t>
            </w:r>
          </w:p>
        </w:tc>
      </w:tr>
    </w:tbl>
    <w:p w14:paraId="6F6B8E1D" w14:textId="51961A6E" w:rsidR="008C5B37" w:rsidRPr="00B662B3" w:rsidRDefault="008C5B37" w:rsidP="00BA540B">
      <w:pPr>
        <w:adjustRightInd w:val="0"/>
        <w:spacing w:beforeLines="50" w:before="156" w:afterLines="50" w:after="156" w:line="600" w:lineRule="exact"/>
        <w:ind w:firstLineChars="200" w:firstLine="560"/>
        <w:jc w:val="left"/>
        <w:rPr>
          <w:bCs/>
          <w:sz w:val="28"/>
          <w:szCs w:val="28"/>
        </w:rPr>
      </w:pPr>
      <w:r w:rsidRPr="00B662B3">
        <w:rPr>
          <w:bCs/>
          <w:sz w:val="28"/>
          <w:szCs w:val="28"/>
        </w:rPr>
        <w:t>（二）与上市公司的关联关系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4"/>
        <w:gridCol w:w="2475"/>
        <w:gridCol w:w="4997"/>
      </w:tblGrid>
      <w:tr w:rsidR="00CE7C3B" w:rsidRPr="00B662B3" w14:paraId="7DC495A9" w14:textId="77777777" w:rsidTr="00CF5A1E">
        <w:trPr>
          <w:trHeight w:val="340"/>
        </w:trPr>
        <w:tc>
          <w:tcPr>
            <w:tcW w:w="817" w:type="dxa"/>
            <w:shd w:val="clear" w:color="auto" w:fill="auto"/>
            <w:vAlign w:val="center"/>
          </w:tcPr>
          <w:p w14:paraId="0C37D8C9" w14:textId="77777777" w:rsidR="00CE7C3B" w:rsidRPr="00B662B3" w:rsidRDefault="00CE7C3B" w:rsidP="00CF5A1E">
            <w:pPr>
              <w:adjustRightInd w:val="0"/>
              <w:jc w:val="center"/>
              <w:rPr>
                <w:b/>
                <w:sz w:val="24"/>
              </w:rPr>
            </w:pPr>
            <w:r w:rsidRPr="00B662B3">
              <w:rPr>
                <w:b/>
                <w:sz w:val="24"/>
              </w:rPr>
              <w:t>序号</w:t>
            </w:r>
          </w:p>
        </w:tc>
        <w:tc>
          <w:tcPr>
            <w:tcW w:w="2552" w:type="dxa"/>
            <w:shd w:val="clear" w:color="auto" w:fill="auto"/>
            <w:vAlign w:val="center"/>
          </w:tcPr>
          <w:p w14:paraId="55846060" w14:textId="77777777" w:rsidR="00CE7C3B" w:rsidRPr="00B662B3" w:rsidRDefault="00CE7C3B" w:rsidP="00CF5A1E">
            <w:pPr>
              <w:adjustRightInd w:val="0"/>
              <w:jc w:val="center"/>
              <w:rPr>
                <w:b/>
                <w:sz w:val="24"/>
              </w:rPr>
            </w:pPr>
            <w:r w:rsidRPr="00B662B3">
              <w:rPr>
                <w:b/>
                <w:sz w:val="24"/>
              </w:rPr>
              <w:t>关联方</w:t>
            </w:r>
          </w:p>
        </w:tc>
        <w:tc>
          <w:tcPr>
            <w:tcW w:w="5153" w:type="dxa"/>
            <w:shd w:val="clear" w:color="auto" w:fill="auto"/>
            <w:vAlign w:val="center"/>
          </w:tcPr>
          <w:p w14:paraId="5272160B" w14:textId="77777777" w:rsidR="00CE7C3B" w:rsidRPr="00B662B3" w:rsidRDefault="00CE7C3B" w:rsidP="00CF5A1E">
            <w:pPr>
              <w:adjustRightInd w:val="0"/>
              <w:jc w:val="center"/>
              <w:rPr>
                <w:b/>
                <w:sz w:val="24"/>
              </w:rPr>
            </w:pPr>
            <w:r w:rsidRPr="00B662B3">
              <w:rPr>
                <w:b/>
                <w:sz w:val="24"/>
              </w:rPr>
              <w:t>与公司的关联关系</w:t>
            </w:r>
          </w:p>
        </w:tc>
      </w:tr>
      <w:tr w:rsidR="00500313" w:rsidRPr="00B662B3" w14:paraId="4DEE8B9F" w14:textId="77777777" w:rsidTr="00CF5A1E">
        <w:trPr>
          <w:trHeight w:val="340"/>
        </w:trPr>
        <w:tc>
          <w:tcPr>
            <w:tcW w:w="817" w:type="dxa"/>
            <w:shd w:val="clear" w:color="auto" w:fill="auto"/>
            <w:vAlign w:val="center"/>
          </w:tcPr>
          <w:p w14:paraId="79AE6349" w14:textId="77777777" w:rsidR="00500313" w:rsidRPr="00B662B3" w:rsidRDefault="00500313" w:rsidP="00500313">
            <w:pPr>
              <w:adjustRightInd w:val="0"/>
              <w:jc w:val="center"/>
              <w:rPr>
                <w:bCs/>
                <w:sz w:val="24"/>
              </w:rPr>
            </w:pPr>
            <w:r w:rsidRPr="00B662B3">
              <w:rPr>
                <w:bCs/>
                <w:sz w:val="24"/>
              </w:rPr>
              <w:t>1</w:t>
            </w:r>
          </w:p>
        </w:tc>
        <w:tc>
          <w:tcPr>
            <w:tcW w:w="2552" w:type="dxa"/>
            <w:shd w:val="clear" w:color="auto" w:fill="auto"/>
            <w:vAlign w:val="center"/>
          </w:tcPr>
          <w:p w14:paraId="3223E121" w14:textId="77777777" w:rsidR="00500313" w:rsidRPr="00B662B3" w:rsidRDefault="00500313" w:rsidP="00500313">
            <w:pPr>
              <w:adjustRightInd w:val="0"/>
              <w:jc w:val="center"/>
              <w:rPr>
                <w:bCs/>
                <w:sz w:val="24"/>
              </w:rPr>
            </w:pPr>
            <w:r w:rsidRPr="00B662B3">
              <w:rPr>
                <w:kern w:val="0"/>
                <w:sz w:val="24"/>
              </w:rPr>
              <w:t>深圳市万睿智能科技有限公司</w:t>
            </w:r>
          </w:p>
        </w:tc>
        <w:tc>
          <w:tcPr>
            <w:tcW w:w="5153" w:type="dxa"/>
            <w:shd w:val="clear" w:color="auto" w:fill="auto"/>
            <w:vAlign w:val="center"/>
          </w:tcPr>
          <w:p w14:paraId="25808156" w14:textId="1B3F43E7" w:rsidR="00500313" w:rsidRPr="00500313" w:rsidRDefault="00500313" w:rsidP="00500313">
            <w:pPr>
              <w:widowControl/>
              <w:overflowPunct w:val="0"/>
              <w:jc w:val="center"/>
              <w:rPr>
                <w:kern w:val="0"/>
                <w:sz w:val="24"/>
              </w:rPr>
            </w:pPr>
            <w:r w:rsidRPr="00500313">
              <w:rPr>
                <w:rFonts w:hint="eastAsia"/>
                <w:kern w:val="0"/>
                <w:sz w:val="24"/>
              </w:rPr>
              <w:t>公司董事</w:t>
            </w:r>
            <w:r w:rsidRPr="00500313">
              <w:rPr>
                <w:kern w:val="0"/>
                <w:sz w:val="24"/>
              </w:rPr>
              <w:t>喻斌</w:t>
            </w:r>
            <w:r w:rsidRPr="00500313">
              <w:rPr>
                <w:rFonts w:hint="eastAsia"/>
                <w:kern w:val="0"/>
                <w:sz w:val="24"/>
              </w:rPr>
              <w:t>任关联</w:t>
            </w:r>
            <w:r w:rsidR="00F40EB8">
              <w:rPr>
                <w:rFonts w:hint="eastAsia"/>
                <w:kern w:val="0"/>
                <w:sz w:val="24"/>
              </w:rPr>
              <w:t>方</w:t>
            </w:r>
            <w:r w:rsidRPr="00500313">
              <w:rPr>
                <w:rFonts w:hint="eastAsia"/>
                <w:kern w:val="0"/>
                <w:sz w:val="24"/>
              </w:rPr>
              <w:t>董事兼总经理</w:t>
            </w:r>
          </w:p>
        </w:tc>
      </w:tr>
      <w:tr w:rsidR="00500313" w:rsidRPr="00B662B3" w14:paraId="05FC2EA1" w14:textId="77777777" w:rsidTr="00CF5A1E">
        <w:trPr>
          <w:trHeight w:val="340"/>
        </w:trPr>
        <w:tc>
          <w:tcPr>
            <w:tcW w:w="817" w:type="dxa"/>
            <w:shd w:val="clear" w:color="auto" w:fill="auto"/>
            <w:vAlign w:val="center"/>
          </w:tcPr>
          <w:p w14:paraId="536F2243" w14:textId="77777777" w:rsidR="00500313" w:rsidRPr="00B662B3" w:rsidRDefault="00500313" w:rsidP="00500313">
            <w:pPr>
              <w:adjustRightInd w:val="0"/>
              <w:jc w:val="center"/>
              <w:rPr>
                <w:bCs/>
                <w:sz w:val="24"/>
              </w:rPr>
            </w:pPr>
            <w:r w:rsidRPr="00B662B3">
              <w:rPr>
                <w:bCs/>
                <w:sz w:val="24"/>
              </w:rPr>
              <w:t>2</w:t>
            </w:r>
          </w:p>
        </w:tc>
        <w:tc>
          <w:tcPr>
            <w:tcW w:w="2552" w:type="dxa"/>
            <w:shd w:val="clear" w:color="auto" w:fill="auto"/>
            <w:vAlign w:val="center"/>
          </w:tcPr>
          <w:p w14:paraId="69823376" w14:textId="77777777" w:rsidR="00500313" w:rsidRPr="00B662B3" w:rsidRDefault="00500313" w:rsidP="00500313">
            <w:pPr>
              <w:adjustRightInd w:val="0"/>
              <w:jc w:val="center"/>
              <w:rPr>
                <w:bCs/>
                <w:sz w:val="24"/>
              </w:rPr>
            </w:pPr>
            <w:r w:rsidRPr="00B662B3">
              <w:rPr>
                <w:kern w:val="0"/>
                <w:sz w:val="24"/>
              </w:rPr>
              <w:t>深圳市赛格导航科技股份有限公司</w:t>
            </w:r>
          </w:p>
        </w:tc>
        <w:tc>
          <w:tcPr>
            <w:tcW w:w="5153" w:type="dxa"/>
            <w:shd w:val="clear" w:color="auto" w:fill="auto"/>
            <w:vAlign w:val="center"/>
          </w:tcPr>
          <w:p w14:paraId="42FD2EE0" w14:textId="1B9E87A4" w:rsidR="00500313" w:rsidRPr="00500313" w:rsidRDefault="00500313" w:rsidP="00500313">
            <w:pPr>
              <w:pStyle w:val="Default"/>
              <w:jc w:val="center"/>
              <w:rPr>
                <w:rFonts w:ascii="Times New Roman" w:hAnsi="Times New Roman" w:cs="Times New Roman"/>
                <w:color w:val="auto"/>
              </w:rPr>
            </w:pPr>
            <w:r w:rsidRPr="00500313">
              <w:rPr>
                <w:rFonts w:ascii="Times New Roman" w:hAnsi="Times New Roman" w:cs="Times New Roman" w:hint="eastAsia"/>
                <w:color w:val="auto"/>
              </w:rPr>
              <w:t>公司董事</w:t>
            </w:r>
            <w:r w:rsidR="00F40EB8">
              <w:rPr>
                <w:rFonts w:ascii="Times New Roman" w:hAnsi="Times New Roman" w:cs="Times New Roman" w:hint="eastAsia"/>
                <w:color w:val="auto"/>
              </w:rPr>
              <w:t>钟志伟</w:t>
            </w:r>
            <w:r w:rsidRPr="00500313">
              <w:rPr>
                <w:rFonts w:ascii="Times New Roman" w:hAnsi="Times New Roman" w:cs="Times New Roman" w:hint="eastAsia"/>
                <w:color w:val="auto"/>
              </w:rPr>
              <w:t>任关联</w:t>
            </w:r>
            <w:r w:rsidR="00F40EB8">
              <w:rPr>
                <w:rFonts w:ascii="Times New Roman" w:hAnsi="Times New Roman" w:cs="Times New Roman" w:hint="eastAsia"/>
                <w:color w:val="auto"/>
              </w:rPr>
              <w:t>方</w:t>
            </w:r>
            <w:r w:rsidRPr="00500313">
              <w:rPr>
                <w:rFonts w:ascii="Times New Roman" w:hAnsi="Times New Roman" w:cs="Times New Roman" w:hint="eastAsia"/>
                <w:color w:val="auto"/>
              </w:rPr>
              <w:t>董事</w:t>
            </w:r>
          </w:p>
        </w:tc>
      </w:tr>
      <w:tr w:rsidR="00F40EB8" w:rsidRPr="00B662B3" w14:paraId="5685E57A" w14:textId="77777777" w:rsidTr="00CF5A1E">
        <w:trPr>
          <w:trHeight w:val="340"/>
        </w:trPr>
        <w:tc>
          <w:tcPr>
            <w:tcW w:w="817" w:type="dxa"/>
            <w:shd w:val="clear" w:color="auto" w:fill="auto"/>
            <w:vAlign w:val="center"/>
          </w:tcPr>
          <w:p w14:paraId="7F40C253" w14:textId="69C15CD3" w:rsidR="00F40EB8" w:rsidRPr="00B662B3" w:rsidRDefault="00F40EB8" w:rsidP="00500313">
            <w:pPr>
              <w:adjustRightInd w:val="0"/>
              <w:jc w:val="center"/>
              <w:rPr>
                <w:bCs/>
                <w:sz w:val="24"/>
              </w:rPr>
            </w:pPr>
            <w:r>
              <w:rPr>
                <w:rFonts w:hint="eastAsia"/>
                <w:bCs/>
                <w:sz w:val="24"/>
              </w:rPr>
              <w:t>3</w:t>
            </w:r>
          </w:p>
        </w:tc>
        <w:tc>
          <w:tcPr>
            <w:tcW w:w="2552" w:type="dxa"/>
            <w:shd w:val="clear" w:color="auto" w:fill="auto"/>
            <w:vAlign w:val="center"/>
          </w:tcPr>
          <w:p w14:paraId="726BD705" w14:textId="102B4D90" w:rsidR="00F40EB8" w:rsidRPr="00B662B3" w:rsidRDefault="00F40EB8" w:rsidP="00500313">
            <w:pPr>
              <w:adjustRightInd w:val="0"/>
              <w:jc w:val="center"/>
              <w:rPr>
                <w:kern w:val="0"/>
                <w:sz w:val="24"/>
              </w:rPr>
            </w:pPr>
            <w:r w:rsidRPr="00B631F9">
              <w:rPr>
                <w:rFonts w:hint="eastAsia"/>
                <w:kern w:val="0"/>
                <w:sz w:val="24"/>
              </w:rPr>
              <w:t>西安迅腾科技有限责任公司</w:t>
            </w:r>
          </w:p>
        </w:tc>
        <w:tc>
          <w:tcPr>
            <w:tcW w:w="5153" w:type="dxa"/>
            <w:shd w:val="clear" w:color="auto" w:fill="auto"/>
            <w:vAlign w:val="center"/>
          </w:tcPr>
          <w:p w14:paraId="2E24D82C" w14:textId="20E2524A" w:rsidR="00F40EB8" w:rsidRPr="00500313" w:rsidRDefault="00F40EB8" w:rsidP="00500313">
            <w:pPr>
              <w:pStyle w:val="Default"/>
              <w:jc w:val="center"/>
              <w:rPr>
                <w:rFonts w:ascii="Times New Roman" w:hAnsi="Times New Roman" w:cs="Times New Roman"/>
                <w:color w:val="auto"/>
              </w:rPr>
            </w:pPr>
            <w:r>
              <w:rPr>
                <w:rFonts w:ascii="Times New Roman" w:hAnsi="Times New Roman" w:cs="Times New Roman" w:hint="eastAsia"/>
                <w:color w:val="auto"/>
              </w:rPr>
              <w:t>公司持股</w:t>
            </w:r>
            <w:r>
              <w:rPr>
                <w:rFonts w:ascii="Times New Roman" w:hAnsi="Times New Roman" w:cs="Times New Roman" w:hint="eastAsia"/>
                <w:color w:val="auto"/>
              </w:rPr>
              <w:t>30%</w:t>
            </w:r>
            <w:r>
              <w:rPr>
                <w:rFonts w:ascii="Times New Roman" w:hAnsi="Times New Roman" w:cs="Times New Roman" w:hint="eastAsia"/>
                <w:color w:val="auto"/>
              </w:rPr>
              <w:t>，同时公司董事魏琼任关联方董事</w:t>
            </w:r>
          </w:p>
        </w:tc>
      </w:tr>
    </w:tbl>
    <w:p w14:paraId="36959581" w14:textId="77777777" w:rsidR="00A9530D" w:rsidRPr="00B662B3" w:rsidRDefault="008C5B37" w:rsidP="00837A17">
      <w:pPr>
        <w:adjustRightInd w:val="0"/>
        <w:spacing w:line="600" w:lineRule="exact"/>
        <w:ind w:firstLineChars="200" w:firstLine="560"/>
        <w:jc w:val="left"/>
        <w:rPr>
          <w:bCs/>
          <w:sz w:val="28"/>
          <w:szCs w:val="28"/>
        </w:rPr>
      </w:pPr>
      <w:r w:rsidRPr="00B662B3">
        <w:rPr>
          <w:bCs/>
          <w:sz w:val="28"/>
          <w:szCs w:val="28"/>
        </w:rPr>
        <w:t>（三）履约能力分析</w:t>
      </w:r>
    </w:p>
    <w:p w14:paraId="2395467D" w14:textId="12646EAC" w:rsidR="00B662B3" w:rsidRDefault="00B662B3" w:rsidP="00837A17">
      <w:pPr>
        <w:adjustRightInd w:val="0"/>
        <w:spacing w:line="600" w:lineRule="exact"/>
        <w:ind w:firstLineChars="200" w:firstLine="560"/>
        <w:jc w:val="left"/>
        <w:rPr>
          <w:bCs/>
          <w:sz w:val="28"/>
          <w:szCs w:val="28"/>
        </w:rPr>
      </w:pPr>
      <w:r w:rsidRPr="00B662B3">
        <w:rPr>
          <w:rFonts w:hint="eastAsia"/>
          <w:bCs/>
          <w:sz w:val="28"/>
          <w:szCs w:val="28"/>
        </w:rPr>
        <w:t>上述关联方依法持续经营，过往发生的交易能正常实施并结算，具备良好的履约能力。公司将就</w:t>
      </w:r>
      <w:r w:rsidRPr="00B662B3">
        <w:rPr>
          <w:rFonts w:hint="eastAsia"/>
          <w:bCs/>
          <w:sz w:val="28"/>
          <w:szCs w:val="28"/>
        </w:rPr>
        <w:t>202</w:t>
      </w:r>
      <w:r w:rsidR="00F40EB8">
        <w:rPr>
          <w:rFonts w:hint="eastAsia"/>
          <w:bCs/>
          <w:sz w:val="28"/>
          <w:szCs w:val="28"/>
        </w:rPr>
        <w:t>1</w:t>
      </w:r>
      <w:r w:rsidRPr="00B662B3">
        <w:rPr>
          <w:rFonts w:hint="eastAsia"/>
          <w:bCs/>
          <w:sz w:val="28"/>
          <w:szCs w:val="28"/>
        </w:rPr>
        <w:t>年度预计发生的日常关联交易与相关关联方签署合同或协议并严格按照约定执行，履约具有法律保障。</w:t>
      </w:r>
    </w:p>
    <w:p w14:paraId="30BDEDF9" w14:textId="77777777" w:rsidR="008C5B37" w:rsidRPr="00B662B3" w:rsidRDefault="008C5B37" w:rsidP="00837A17">
      <w:pPr>
        <w:adjustRightInd w:val="0"/>
        <w:spacing w:line="600" w:lineRule="exact"/>
        <w:ind w:firstLineChars="200" w:firstLine="562"/>
        <w:jc w:val="left"/>
        <w:rPr>
          <w:b/>
          <w:bCs/>
          <w:sz w:val="28"/>
          <w:szCs w:val="28"/>
        </w:rPr>
      </w:pPr>
      <w:r w:rsidRPr="00B662B3">
        <w:rPr>
          <w:b/>
          <w:bCs/>
          <w:sz w:val="28"/>
          <w:szCs w:val="28"/>
        </w:rPr>
        <w:t>三、</w:t>
      </w:r>
      <w:r w:rsidR="00A950A4" w:rsidRPr="00B662B3">
        <w:rPr>
          <w:b/>
          <w:bCs/>
          <w:sz w:val="28"/>
          <w:szCs w:val="28"/>
        </w:rPr>
        <w:t>日常</w:t>
      </w:r>
      <w:r w:rsidRPr="00B662B3">
        <w:rPr>
          <w:b/>
          <w:bCs/>
          <w:sz w:val="28"/>
          <w:szCs w:val="28"/>
        </w:rPr>
        <w:t>关联交易主要内容</w:t>
      </w:r>
    </w:p>
    <w:p w14:paraId="015F24A8" w14:textId="77777777" w:rsidR="008C5B37" w:rsidRPr="00B662B3" w:rsidRDefault="005A6393" w:rsidP="00E642DA">
      <w:pPr>
        <w:adjustRightInd w:val="0"/>
        <w:spacing w:line="600" w:lineRule="exact"/>
        <w:ind w:firstLineChars="200" w:firstLine="560"/>
        <w:jc w:val="left"/>
        <w:rPr>
          <w:bCs/>
          <w:sz w:val="28"/>
          <w:szCs w:val="28"/>
        </w:rPr>
      </w:pPr>
      <w:r w:rsidRPr="00B662B3">
        <w:rPr>
          <w:bCs/>
          <w:sz w:val="28"/>
          <w:szCs w:val="28"/>
        </w:rPr>
        <w:t>（一）关联交易主要内容</w:t>
      </w:r>
    </w:p>
    <w:p w14:paraId="3A0DE12D" w14:textId="582ECB26" w:rsidR="005B67C4" w:rsidRDefault="005B67C4" w:rsidP="005B67C4">
      <w:pPr>
        <w:adjustRightInd w:val="0"/>
        <w:spacing w:line="600" w:lineRule="exact"/>
        <w:ind w:firstLineChars="200" w:firstLine="560"/>
        <w:rPr>
          <w:bCs/>
          <w:sz w:val="28"/>
          <w:szCs w:val="28"/>
        </w:rPr>
      </w:pPr>
      <w:r w:rsidRPr="005B67C4">
        <w:rPr>
          <w:rFonts w:hint="eastAsia"/>
          <w:bCs/>
          <w:sz w:val="28"/>
          <w:szCs w:val="28"/>
        </w:rPr>
        <w:lastRenderedPageBreak/>
        <w:t>公司</w:t>
      </w:r>
      <w:r>
        <w:rPr>
          <w:rFonts w:hint="eastAsia"/>
          <w:bCs/>
          <w:sz w:val="28"/>
          <w:szCs w:val="28"/>
        </w:rPr>
        <w:t>及子公司</w:t>
      </w:r>
      <w:r w:rsidRPr="005B67C4">
        <w:rPr>
          <w:rFonts w:hint="eastAsia"/>
          <w:bCs/>
          <w:sz w:val="28"/>
          <w:szCs w:val="28"/>
        </w:rPr>
        <w:t>与相关关联方</w:t>
      </w:r>
      <w:r w:rsidRPr="005B67C4">
        <w:rPr>
          <w:rFonts w:hint="eastAsia"/>
          <w:bCs/>
          <w:sz w:val="28"/>
          <w:szCs w:val="28"/>
        </w:rPr>
        <w:t>202</w:t>
      </w:r>
      <w:r w:rsidR="00F40EB8">
        <w:rPr>
          <w:rFonts w:hint="eastAsia"/>
          <w:bCs/>
          <w:sz w:val="28"/>
          <w:szCs w:val="28"/>
        </w:rPr>
        <w:t>1</w:t>
      </w:r>
      <w:r w:rsidRPr="005B67C4">
        <w:rPr>
          <w:rFonts w:hint="eastAsia"/>
          <w:bCs/>
          <w:sz w:val="28"/>
          <w:szCs w:val="28"/>
        </w:rPr>
        <w:t>年度的预计日常关联交易主要为向相关关联方销售物联网无线通信模块和物联网无线通信解决方案等，关联交易价格遵循公平、自愿原则，根据具体产品的规格型号以及客户定制需求、市场价格确定。</w:t>
      </w:r>
    </w:p>
    <w:p w14:paraId="41845244" w14:textId="77777777" w:rsidR="008C5B37" w:rsidRPr="00B662B3" w:rsidRDefault="000B1DA0" w:rsidP="00837A17">
      <w:pPr>
        <w:adjustRightInd w:val="0"/>
        <w:spacing w:line="600" w:lineRule="exact"/>
        <w:ind w:firstLineChars="200" w:firstLine="560"/>
        <w:jc w:val="left"/>
        <w:rPr>
          <w:bCs/>
          <w:sz w:val="28"/>
          <w:szCs w:val="28"/>
        </w:rPr>
      </w:pPr>
      <w:r w:rsidRPr="00B662B3">
        <w:rPr>
          <w:bCs/>
          <w:sz w:val="28"/>
          <w:szCs w:val="28"/>
        </w:rPr>
        <w:t>（二）</w:t>
      </w:r>
      <w:r w:rsidR="008C5B37" w:rsidRPr="00B662B3">
        <w:rPr>
          <w:bCs/>
          <w:sz w:val="28"/>
          <w:szCs w:val="28"/>
        </w:rPr>
        <w:t>关联交易协议签署情况</w:t>
      </w:r>
    </w:p>
    <w:p w14:paraId="0C54D49F" w14:textId="77777777" w:rsidR="005B67C4" w:rsidRDefault="005B67C4" w:rsidP="005B67C4">
      <w:pPr>
        <w:adjustRightInd w:val="0"/>
        <w:spacing w:line="600" w:lineRule="exact"/>
        <w:ind w:firstLineChars="200" w:firstLine="560"/>
        <w:rPr>
          <w:bCs/>
          <w:sz w:val="28"/>
          <w:szCs w:val="28"/>
        </w:rPr>
      </w:pPr>
      <w:r w:rsidRPr="005B67C4">
        <w:rPr>
          <w:rFonts w:hint="eastAsia"/>
          <w:bCs/>
          <w:sz w:val="28"/>
          <w:szCs w:val="28"/>
        </w:rPr>
        <w:t>该日常关联交易额度预计事项经股东大会审议通过后，公司</w:t>
      </w:r>
      <w:r>
        <w:rPr>
          <w:rFonts w:hint="eastAsia"/>
          <w:bCs/>
          <w:sz w:val="28"/>
          <w:szCs w:val="28"/>
        </w:rPr>
        <w:t>及子公司</w:t>
      </w:r>
      <w:r w:rsidRPr="005B67C4">
        <w:rPr>
          <w:rFonts w:hint="eastAsia"/>
          <w:bCs/>
          <w:sz w:val="28"/>
          <w:szCs w:val="28"/>
        </w:rPr>
        <w:t>将根据业务开展情况与相关关联方签署具体的交易合同或协议。</w:t>
      </w:r>
    </w:p>
    <w:p w14:paraId="2D6D8A0A" w14:textId="77777777" w:rsidR="008C5B37" w:rsidRPr="00B662B3" w:rsidRDefault="008C5B37" w:rsidP="00837A17">
      <w:pPr>
        <w:adjustRightInd w:val="0"/>
        <w:spacing w:line="600" w:lineRule="exact"/>
        <w:ind w:firstLineChars="200" w:firstLine="562"/>
        <w:jc w:val="left"/>
        <w:rPr>
          <w:b/>
          <w:bCs/>
          <w:sz w:val="28"/>
          <w:szCs w:val="28"/>
        </w:rPr>
      </w:pPr>
      <w:r w:rsidRPr="00B662B3">
        <w:rPr>
          <w:b/>
          <w:bCs/>
          <w:sz w:val="28"/>
          <w:szCs w:val="28"/>
        </w:rPr>
        <w:t>四、</w:t>
      </w:r>
      <w:r w:rsidR="00A950A4" w:rsidRPr="00B662B3">
        <w:rPr>
          <w:b/>
          <w:bCs/>
          <w:sz w:val="28"/>
          <w:szCs w:val="28"/>
        </w:rPr>
        <w:t>日常</w:t>
      </w:r>
      <w:r w:rsidRPr="00B662B3">
        <w:rPr>
          <w:b/>
          <w:bCs/>
          <w:sz w:val="28"/>
          <w:szCs w:val="28"/>
        </w:rPr>
        <w:t>关联交易目的和对上市公司的影响</w:t>
      </w:r>
    </w:p>
    <w:p w14:paraId="5E5576E6" w14:textId="77777777" w:rsidR="00AE754C" w:rsidRPr="00AE754C" w:rsidRDefault="00AE754C" w:rsidP="00AE754C">
      <w:pPr>
        <w:adjustRightInd w:val="0"/>
        <w:spacing w:line="600" w:lineRule="exact"/>
        <w:ind w:firstLineChars="200" w:firstLine="560"/>
        <w:rPr>
          <w:bCs/>
          <w:sz w:val="28"/>
          <w:szCs w:val="28"/>
        </w:rPr>
      </w:pPr>
      <w:r w:rsidRPr="00AE754C">
        <w:rPr>
          <w:rFonts w:hint="eastAsia"/>
          <w:bCs/>
          <w:sz w:val="28"/>
          <w:szCs w:val="28"/>
        </w:rPr>
        <w:t>（一）关联交易的必要性</w:t>
      </w:r>
    </w:p>
    <w:p w14:paraId="0FBF4A85" w14:textId="77777777" w:rsidR="00BA540B" w:rsidRDefault="00BA540B" w:rsidP="00AE754C">
      <w:pPr>
        <w:adjustRightInd w:val="0"/>
        <w:spacing w:line="600" w:lineRule="exact"/>
        <w:ind w:firstLineChars="200" w:firstLine="560"/>
        <w:rPr>
          <w:bCs/>
          <w:sz w:val="28"/>
          <w:szCs w:val="28"/>
        </w:rPr>
      </w:pPr>
      <w:r w:rsidRPr="00BA540B">
        <w:rPr>
          <w:rFonts w:hint="eastAsia"/>
          <w:bCs/>
          <w:sz w:val="28"/>
          <w:szCs w:val="28"/>
        </w:rPr>
        <w:t>公司与关联方的日常关联交易均为公司开展日常经营活动所需，公司选择的合作关联方均具备良好商业信誉和财务状况，且公司与前述关联方存在良好的合作伙伴关系，有利于公司正常业务的持续开展，可降低公司的经营风险。在公司的生产经营稳定发展的情况下，在一定时间内与上述关联方之间的关联交易将持续存在。</w:t>
      </w:r>
    </w:p>
    <w:p w14:paraId="389A988C" w14:textId="77777777" w:rsidR="00AE754C" w:rsidRPr="00AE754C" w:rsidRDefault="00AE754C" w:rsidP="00AE754C">
      <w:pPr>
        <w:adjustRightInd w:val="0"/>
        <w:spacing w:line="600" w:lineRule="exact"/>
        <w:ind w:firstLineChars="200" w:firstLine="560"/>
        <w:rPr>
          <w:bCs/>
          <w:sz w:val="28"/>
          <w:szCs w:val="28"/>
        </w:rPr>
      </w:pPr>
      <w:r w:rsidRPr="00AE754C">
        <w:rPr>
          <w:rFonts w:hint="eastAsia"/>
          <w:bCs/>
          <w:sz w:val="28"/>
          <w:szCs w:val="28"/>
        </w:rPr>
        <w:t>（二）关联交易定价的公允性、合理性</w:t>
      </w:r>
    </w:p>
    <w:p w14:paraId="1DDB1099" w14:textId="77777777" w:rsidR="00BA540B" w:rsidRDefault="00BA540B" w:rsidP="005B67C4">
      <w:pPr>
        <w:adjustRightInd w:val="0"/>
        <w:spacing w:line="600" w:lineRule="exact"/>
        <w:ind w:firstLineChars="200" w:firstLine="560"/>
        <w:jc w:val="left"/>
        <w:rPr>
          <w:bCs/>
          <w:sz w:val="28"/>
          <w:szCs w:val="28"/>
        </w:rPr>
      </w:pPr>
      <w:r w:rsidRPr="00BA540B">
        <w:rPr>
          <w:rFonts w:hint="eastAsia"/>
          <w:bCs/>
          <w:sz w:val="28"/>
          <w:szCs w:val="28"/>
        </w:rPr>
        <w:t>公司与关联方之间的交易均遵循公平、公正、公开的原则，关联交易定价以市场化原则确定，若交易的产品或劳务没有明确的市场价格，由交易双方根据成本加上合理的利润协商定价，不存在损害公司和全体股东尤其是中小股东利益的行为。该等关联交易对公司的财务状况、经营成果不会产生不利影响，公司的主要业务不会因此类交易对关联方形成依赖。</w:t>
      </w:r>
    </w:p>
    <w:p w14:paraId="781879F9" w14:textId="77777777" w:rsidR="00A27705" w:rsidRPr="00B662B3" w:rsidRDefault="00B944A0" w:rsidP="005B67C4">
      <w:pPr>
        <w:adjustRightInd w:val="0"/>
        <w:spacing w:line="600" w:lineRule="exact"/>
        <w:ind w:firstLineChars="200" w:firstLine="562"/>
        <w:jc w:val="left"/>
        <w:rPr>
          <w:b/>
          <w:bCs/>
          <w:sz w:val="28"/>
          <w:szCs w:val="28"/>
        </w:rPr>
      </w:pPr>
      <w:r w:rsidRPr="00B662B3">
        <w:rPr>
          <w:b/>
          <w:bCs/>
          <w:sz w:val="28"/>
          <w:szCs w:val="28"/>
        </w:rPr>
        <w:t>五、保荐机构核查意见</w:t>
      </w:r>
      <w:r w:rsidRPr="00B662B3">
        <w:rPr>
          <w:b/>
          <w:bCs/>
          <w:sz w:val="28"/>
          <w:szCs w:val="28"/>
        </w:rPr>
        <w:t xml:space="preserve"> </w:t>
      </w:r>
    </w:p>
    <w:p w14:paraId="5E0C2EBB" w14:textId="77777777" w:rsidR="005B67C4" w:rsidRDefault="005B67C4" w:rsidP="005B67C4">
      <w:pPr>
        <w:adjustRightInd w:val="0"/>
        <w:snapToGrid w:val="0"/>
        <w:spacing w:line="600" w:lineRule="exact"/>
        <w:ind w:firstLineChars="200" w:firstLine="560"/>
        <w:rPr>
          <w:rFonts w:ascii="宋体" w:hAnsi="宋体"/>
          <w:color w:val="000000"/>
          <w:sz w:val="28"/>
          <w:szCs w:val="28"/>
        </w:rPr>
      </w:pPr>
      <w:r w:rsidRPr="003C5927">
        <w:rPr>
          <w:rFonts w:ascii="宋体" w:hAnsi="宋体" w:hint="eastAsia"/>
          <w:color w:val="000000"/>
          <w:sz w:val="28"/>
          <w:szCs w:val="28"/>
        </w:rPr>
        <w:t>华创证券有限责任公司认为：</w:t>
      </w:r>
    </w:p>
    <w:p w14:paraId="49EDBC69" w14:textId="77777777" w:rsidR="00F40EB8" w:rsidRPr="00F40EB8" w:rsidRDefault="00F40EB8" w:rsidP="00F40EB8">
      <w:pPr>
        <w:adjustRightInd w:val="0"/>
        <w:spacing w:line="600" w:lineRule="exact"/>
        <w:ind w:firstLineChars="200" w:firstLine="560"/>
        <w:jc w:val="left"/>
        <w:rPr>
          <w:rFonts w:ascii="宋体" w:hAnsi="宋体"/>
          <w:color w:val="000000"/>
          <w:sz w:val="28"/>
          <w:szCs w:val="28"/>
        </w:rPr>
      </w:pPr>
      <w:r w:rsidRPr="00F40EB8">
        <w:rPr>
          <w:rFonts w:ascii="宋体" w:hAnsi="宋体" w:hint="eastAsia"/>
          <w:color w:val="000000"/>
          <w:sz w:val="28"/>
          <w:szCs w:val="28"/>
        </w:rPr>
        <w:lastRenderedPageBreak/>
        <w:t>公司2021年度日常关联交易额度预计事项已经公司董事会、监事会审议通过，关联董事予以回避表决，独立董事已就该议案发表了事前认可意见和同意的独立意见，监事会已发表同意意见，本次事项尚需股东大会审议。截至目前，上述关联交易预计事项的决策程序符合相关法律、法规及《公司章程》的规定。</w:t>
      </w:r>
    </w:p>
    <w:p w14:paraId="4061EA60" w14:textId="77777777" w:rsidR="00F40EB8" w:rsidRPr="00F40EB8" w:rsidRDefault="00F40EB8" w:rsidP="00F40EB8">
      <w:pPr>
        <w:adjustRightInd w:val="0"/>
        <w:spacing w:line="600" w:lineRule="exact"/>
        <w:ind w:firstLineChars="200" w:firstLine="560"/>
        <w:jc w:val="left"/>
        <w:rPr>
          <w:rFonts w:ascii="宋体" w:hAnsi="宋体"/>
          <w:color w:val="000000"/>
          <w:sz w:val="28"/>
          <w:szCs w:val="28"/>
        </w:rPr>
      </w:pPr>
      <w:r w:rsidRPr="00F40EB8">
        <w:rPr>
          <w:rFonts w:ascii="宋体" w:hAnsi="宋体" w:hint="eastAsia"/>
          <w:color w:val="000000"/>
          <w:sz w:val="28"/>
          <w:szCs w:val="28"/>
        </w:rPr>
        <w:t>公司上述预计日常关联交易事项均为公司开展日常经营活动所需，关联交易遵循公允合理的定价原则，符合公司和全体股东的利益，不存在损害中小股东利益的情况，关联交易对公司的财务状况、经营成果不会产生不利影响。</w:t>
      </w:r>
    </w:p>
    <w:p w14:paraId="14BA9C3C" w14:textId="77777777" w:rsidR="00F40EB8" w:rsidRDefault="00F40EB8" w:rsidP="00F40EB8">
      <w:pPr>
        <w:adjustRightInd w:val="0"/>
        <w:spacing w:line="600" w:lineRule="exact"/>
        <w:ind w:firstLineChars="200" w:firstLine="560"/>
        <w:jc w:val="left"/>
        <w:rPr>
          <w:rFonts w:ascii="宋体" w:hAnsi="宋体"/>
          <w:color w:val="000000"/>
          <w:sz w:val="28"/>
          <w:szCs w:val="28"/>
        </w:rPr>
      </w:pPr>
      <w:r w:rsidRPr="00F40EB8">
        <w:rPr>
          <w:rFonts w:ascii="宋体" w:hAnsi="宋体" w:hint="eastAsia"/>
          <w:color w:val="000000"/>
          <w:sz w:val="28"/>
          <w:szCs w:val="28"/>
        </w:rPr>
        <w:t>综上，保荐机构同意上述有方科技2021年度日常关联交易额度预计事项。</w:t>
      </w:r>
    </w:p>
    <w:p w14:paraId="494F2A7F" w14:textId="77777777" w:rsidR="008C5B37" w:rsidRPr="00B662B3" w:rsidRDefault="008C5B37" w:rsidP="00837A17">
      <w:pPr>
        <w:adjustRightInd w:val="0"/>
        <w:spacing w:line="600" w:lineRule="exact"/>
        <w:ind w:firstLineChars="200" w:firstLine="560"/>
        <w:jc w:val="left"/>
        <w:rPr>
          <w:bCs/>
          <w:sz w:val="28"/>
          <w:szCs w:val="28"/>
        </w:rPr>
      </w:pPr>
      <w:r w:rsidRPr="00B662B3">
        <w:rPr>
          <w:bCs/>
          <w:sz w:val="28"/>
          <w:szCs w:val="28"/>
        </w:rPr>
        <w:t>特此公告。</w:t>
      </w:r>
    </w:p>
    <w:p w14:paraId="7D1E2C84" w14:textId="77777777" w:rsidR="00356C6D" w:rsidRDefault="00356C6D" w:rsidP="00837A17">
      <w:pPr>
        <w:adjustRightInd w:val="0"/>
        <w:spacing w:line="600" w:lineRule="exact"/>
        <w:ind w:firstLineChars="200" w:firstLine="560"/>
        <w:jc w:val="right"/>
        <w:rPr>
          <w:bCs/>
          <w:sz w:val="28"/>
          <w:szCs w:val="28"/>
        </w:rPr>
      </w:pPr>
    </w:p>
    <w:p w14:paraId="099EC7C1" w14:textId="77777777" w:rsidR="008C5B37" w:rsidRPr="00B662B3" w:rsidRDefault="00B944A0" w:rsidP="00837A17">
      <w:pPr>
        <w:adjustRightInd w:val="0"/>
        <w:spacing w:line="600" w:lineRule="exact"/>
        <w:ind w:firstLineChars="200" w:firstLine="560"/>
        <w:jc w:val="right"/>
        <w:rPr>
          <w:bCs/>
          <w:sz w:val="28"/>
          <w:szCs w:val="28"/>
        </w:rPr>
      </w:pPr>
      <w:r w:rsidRPr="00B662B3">
        <w:rPr>
          <w:bCs/>
          <w:sz w:val="28"/>
          <w:szCs w:val="28"/>
        </w:rPr>
        <w:t>深圳市有方科技</w:t>
      </w:r>
      <w:r w:rsidR="008C5B37" w:rsidRPr="00B662B3">
        <w:rPr>
          <w:bCs/>
          <w:sz w:val="28"/>
          <w:szCs w:val="28"/>
        </w:rPr>
        <w:t>股份有限公司董事会</w:t>
      </w:r>
    </w:p>
    <w:p w14:paraId="2B61FE12" w14:textId="74140CD2" w:rsidR="00BC57A7" w:rsidRPr="00B662B3" w:rsidRDefault="008C5B37" w:rsidP="00500313">
      <w:pPr>
        <w:adjustRightInd w:val="0"/>
        <w:spacing w:line="600" w:lineRule="exact"/>
        <w:ind w:firstLineChars="200" w:firstLine="560"/>
        <w:jc w:val="right"/>
        <w:rPr>
          <w:bCs/>
          <w:sz w:val="28"/>
          <w:szCs w:val="28"/>
        </w:rPr>
      </w:pPr>
      <w:r w:rsidRPr="00B662B3">
        <w:rPr>
          <w:bCs/>
          <w:sz w:val="28"/>
          <w:szCs w:val="28"/>
        </w:rPr>
        <w:t xml:space="preserve">                                      </w:t>
      </w:r>
      <w:r w:rsidR="000C499C" w:rsidRPr="00B662B3">
        <w:rPr>
          <w:bCs/>
          <w:sz w:val="28"/>
          <w:szCs w:val="28"/>
        </w:rPr>
        <w:t>202</w:t>
      </w:r>
      <w:r w:rsidR="00F40EB8">
        <w:rPr>
          <w:rFonts w:hint="eastAsia"/>
          <w:bCs/>
          <w:sz w:val="28"/>
          <w:szCs w:val="28"/>
        </w:rPr>
        <w:t>1</w:t>
      </w:r>
      <w:r w:rsidRPr="00B662B3">
        <w:rPr>
          <w:bCs/>
          <w:sz w:val="28"/>
          <w:szCs w:val="28"/>
        </w:rPr>
        <w:t>年</w:t>
      </w:r>
      <w:r w:rsidR="00F40EB8">
        <w:rPr>
          <w:rFonts w:hint="eastAsia"/>
          <w:bCs/>
          <w:sz w:val="28"/>
          <w:szCs w:val="28"/>
        </w:rPr>
        <w:t>3</w:t>
      </w:r>
      <w:r w:rsidRPr="00B662B3">
        <w:rPr>
          <w:bCs/>
          <w:sz w:val="28"/>
          <w:szCs w:val="28"/>
        </w:rPr>
        <w:t>月</w:t>
      </w:r>
      <w:r w:rsidR="0031487E">
        <w:rPr>
          <w:rFonts w:hint="eastAsia"/>
          <w:bCs/>
          <w:sz w:val="28"/>
          <w:szCs w:val="28"/>
        </w:rPr>
        <w:t>2</w:t>
      </w:r>
      <w:r w:rsidR="00735F88">
        <w:rPr>
          <w:rFonts w:hint="eastAsia"/>
          <w:bCs/>
          <w:sz w:val="28"/>
          <w:szCs w:val="28"/>
        </w:rPr>
        <w:t>5</w:t>
      </w:r>
      <w:r w:rsidRPr="00B662B3">
        <w:rPr>
          <w:bCs/>
          <w:sz w:val="28"/>
          <w:szCs w:val="28"/>
        </w:rPr>
        <w:t>日</w:t>
      </w:r>
    </w:p>
    <w:sectPr w:rsidR="00BC57A7" w:rsidRPr="00B662B3" w:rsidSect="00837A1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703E" w14:textId="77777777" w:rsidR="004830D7" w:rsidRDefault="004830D7">
      <w:r>
        <w:separator/>
      </w:r>
    </w:p>
  </w:endnote>
  <w:endnote w:type="continuationSeparator" w:id="0">
    <w:p w14:paraId="0A9525E8" w14:textId="77777777" w:rsidR="004830D7" w:rsidRDefault="0048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5B96" w14:textId="77777777" w:rsidR="008778A4" w:rsidRDefault="008778A4" w:rsidP="00E362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34F57A4" w14:textId="77777777" w:rsidR="008778A4" w:rsidRDefault="008778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C4D2" w14:textId="77777777" w:rsidR="008778A4" w:rsidRPr="006622C3" w:rsidRDefault="008778A4" w:rsidP="006622C3">
    <w:pPr>
      <w:pStyle w:val="a3"/>
      <w:framePr w:wrap="around" w:vAnchor="text" w:hAnchor="margin" w:xAlign="center" w:y="1"/>
      <w:jc w:val="center"/>
      <w:rPr>
        <w:rStyle w:val="a4"/>
        <w:sz w:val="21"/>
        <w:szCs w:val="21"/>
      </w:rPr>
    </w:pPr>
    <w:r w:rsidRPr="006622C3">
      <w:rPr>
        <w:rStyle w:val="a4"/>
        <w:sz w:val="21"/>
        <w:szCs w:val="21"/>
      </w:rPr>
      <w:fldChar w:fldCharType="begin"/>
    </w:r>
    <w:r w:rsidRPr="006622C3">
      <w:rPr>
        <w:rStyle w:val="a4"/>
        <w:sz w:val="21"/>
        <w:szCs w:val="21"/>
      </w:rPr>
      <w:instrText xml:space="preserve">PAGE  </w:instrText>
    </w:r>
    <w:r w:rsidRPr="006622C3">
      <w:rPr>
        <w:rStyle w:val="a4"/>
        <w:sz w:val="21"/>
        <w:szCs w:val="21"/>
      </w:rPr>
      <w:fldChar w:fldCharType="separate"/>
    </w:r>
    <w:r>
      <w:rPr>
        <w:rStyle w:val="a4"/>
        <w:noProof/>
        <w:sz w:val="21"/>
        <w:szCs w:val="21"/>
      </w:rPr>
      <w:t>2</w:t>
    </w:r>
    <w:r w:rsidRPr="006622C3">
      <w:rPr>
        <w:rStyle w:val="a4"/>
        <w:sz w:val="21"/>
        <w:szCs w:val="21"/>
      </w:rPr>
      <w:fldChar w:fldCharType="end"/>
    </w:r>
  </w:p>
  <w:p w14:paraId="74E8745E" w14:textId="77777777" w:rsidR="008778A4" w:rsidRDefault="008778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0B97" w14:textId="77777777" w:rsidR="004830D7" w:rsidRDefault="004830D7">
      <w:r>
        <w:separator/>
      </w:r>
    </w:p>
  </w:footnote>
  <w:footnote w:type="continuationSeparator" w:id="0">
    <w:p w14:paraId="70331C50" w14:textId="77777777" w:rsidR="004830D7" w:rsidRDefault="0048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F30"/>
    <w:multiLevelType w:val="hybridMultilevel"/>
    <w:tmpl w:val="88D031A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E1389"/>
    <w:multiLevelType w:val="hybridMultilevel"/>
    <w:tmpl w:val="1EB0933E"/>
    <w:lvl w:ilvl="0" w:tplc="36862C6E">
      <w:start w:val="1"/>
      <w:numFmt w:val="decimal"/>
      <w:lvlText w:val="7.2.%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7C206F"/>
    <w:multiLevelType w:val="hybridMultilevel"/>
    <w:tmpl w:val="1EB0933E"/>
    <w:lvl w:ilvl="0" w:tplc="36862C6E">
      <w:start w:val="1"/>
      <w:numFmt w:val="decimal"/>
      <w:lvlText w:val="7.2.%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6F4A20"/>
    <w:multiLevelType w:val="hybridMultilevel"/>
    <w:tmpl w:val="083EB14C"/>
    <w:lvl w:ilvl="0" w:tplc="04090001">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1703C4"/>
    <w:multiLevelType w:val="hybridMultilevel"/>
    <w:tmpl w:val="5E8A6132"/>
    <w:lvl w:ilvl="0" w:tplc="04090001">
      <w:start w:val="1"/>
      <w:numFmt w:val="bullet"/>
      <w:lvlText w:val=""/>
      <w:lvlJc w:val="left"/>
      <w:pPr>
        <w:tabs>
          <w:tab w:val="num" w:pos="988"/>
        </w:tabs>
        <w:ind w:left="98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7D034F"/>
    <w:multiLevelType w:val="hybridMultilevel"/>
    <w:tmpl w:val="5C56AAF8"/>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328857B3"/>
    <w:multiLevelType w:val="hybridMultilevel"/>
    <w:tmpl w:val="6BC4D0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5D886E60"/>
    <w:multiLevelType w:val="hybridMultilevel"/>
    <w:tmpl w:val="2EB2D04E"/>
    <w:lvl w:ilvl="0" w:tplc="641CE2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D15925"/>
    <w:multiLevelType w:val="hybridMultilevel"/>
    <w:tmpl w:val="8E328E8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A7"/>
    <w:rsid w:val="000266D9"/>
    <w:rsid w:val="00063D89"/>
    <w:rsid w:val="00072128"/>
    <w:rsid w:val="00092ED9"/>
    <w:rsid w:val="000960B5"/>
    <w:rsid w:val="00097809"/>
    <w:rsid w:val="000B1DA0"/>
    <w:rsid w:val="000C46EC"/>
    <w:rsid w:val="000C499C"/>
    <w:rsid w:val="000D038F"/>
    <w:rsid w:val="000E4ADC"/>
    <w:rsid w:val="0011601D"/>
    <w:rsid w:val="00134488"/>
    <w:rsid w:val="00141BD7"/>
    <w:rsid w:val="00147B34"/>
    <w:rsid w:val="00153996"/>
    <w:rsid w:val="00155017"/>
    <w:rsid w:val="00156FAC"/>
    <w:rsid w:val="00157D96"/>
    <w:rsid w:val="00165481"/>
    <w:rsid w:val="00166F22"/>
    <w:rsid w:val="00183BE6"/>
    <w:rsid w:val="001A221E"/>
    <w:rsid w:val="001A3AA0"/>
    <w:rsid w:val="001A6A01"/>
    <w:rsid w:val="001B131C"/>
    <w:rsid w:val="001B51EF"/>
    <w:rsid w:val="001C1221"/>
    <w:rsid w:val="001C60D7"/>
    <w:rsid w:val="001D27CE"/>
    <w:rsid w:val="001E576F"/>
    <w:rsid w:val="001E70A3"/>
    <w:rsid w:val="001E7906"/>
    <w:rsid w:val="00202E0E"/>
    <w:rsid w:val="002055B3"/>
    <w:rsid w:val="00212E44"/>
    <w:rsid w:val="00216541"/>
    <w:rsid w:val="00242F44"/>
    <w:rsid w:val="00266EB7"/>
    <w:rsid w:val="00272C8B"/>
    <w:rsid w:val="0027412D"/>
    <w:rsid w:val="00277D20"/>
    <w:rsid w:val="00293EB1"/>
    <w:rsid w:val="00296691"/>
    <w:rsid w:val="002C63C1"/>
    <w:rsid w:val="002C69B8"/>
    <w:rsid w:val="002C6D7D"/>
    <w:rsid w:val="002C6E2C"/>
    <w:rsid w:val="002D39C0"/>
    <w:rsid w:val="002D3F86"/>
    <w:rsid w:val="002E2A92"/>
    <w:rsid w:val="00300064"/>
    <w:rsid w:val="00303510"/>
    <w:rsid w:val="0031129C"/>
    <w:rsid w:val="0031487E"/>
    <w:rsid w:val="00325A69"/>
    <w:rsid w:val="0033456B"/>
    <w:rsid w:val="0035115F"/>
    <w:rsid w:val="00355B0B"/>
    <w:rsid w:val="00356C6D"/>
    <w:rsid w:val="00357CBD"/>
    <w:rsid w:val="0038090D"/>
    <w:rsid w:val="00386B5B"/>
    <w:rsid w:val="00386E6E"/>
    <w:rsid w:val="003A0C8D"/>
    <w:rsid w:val="003A41F1"/>
    <w:rsid w:val="003B4BBF"/>
    <w:rsid w:val="003B5BFD"/>
    <w:rsid w:val="003C3148"/>
    <w:rsid w:val="003C4EEE"/>
    <w:rsid w:val="003D3837"/>
    <w:rsid w:val="003D398F"/>
    <w:rsid w:val="003E0E86"/>
    <w:rsid w:val="003E282B"/>
    <w:rsid w:val="003E4436"/>
    <w:rsid w:val="003E6E01"/>
    <w:rsid w:val="00401DE3"/>
    <w:rsid w:val="00412294"/>
    <w:rsid w:val="004242C9"/>
    <w:rsid w:val="004259FE"/>
    <w:rsid w:val="0043317F"/>
    <w:rsid w:val="00434650"/>
    <w:rsid w:val="004423A3"/>
    <w:rsid w:val="004457C5"/>
    <w:rsid w:val="00452F56"/>
    <w:rsid w:val="00470DBF"/>
    <w:rsid w:val="00482F6C"/>
    <w:rsid w:val="004830D7"/>
    <w:rsid w:val="004973AF"/>
    <w:rsid w:val="004B3544"/>
    <w:rsid w:val="004B6661"/>
    <w:rsid w:val="004C4896"/>
    <w:rsid w:val="004C51F7"/>
    <w:rsid w:val="004C6F87"/>
    <w:rsid w:val="004D0750"/>
    <w:rsid w:val="004D50C5"/>
    <w:rsid w:val="004D714D"/>
    <w:rsid w:val="004E2CA2"/>
    <w:rsid w:val="00500313"/>
    <w:rsid w:val="00510992"/>
    <w:rsid w:val="00523321"/>
    <w:rsid w:val="0052693B"/>
    <w:rsid w:val="0054140D"/>
    <w:rsid w:val="00564598"/>
    <w:rsid w:val="005735D6"/>
    <w:rsid w:val="0057526A"/>
    <w:rsid w:val="005945C9"/>
    <w:rsid w:val="005949DB"/>
    <w:rsid w:val="005959C9"/>
    <w:rsid w:val="005A6393"/>
    <w:rsid w:val="005B67C4"/>
    <w:rsid w:val="005C496D"/>
    <w:rsid w:val="005D1C13"/>
    <w:rsid w:val="005E5ADC"/>
    <w:rsid w:val="005E7CD5"/>
    <w:rsid w:val="005F7E12"/>
    <w:rsid w:val="00607163"/>
    <w:rsid w:val="00616964"/>
    <w:rsid w:val="006206CF"/>
    <w:rsid w:val="006252B3"/>
    <w:rsid w:val="006275D0"/>
    <w:rsid w:val="00632422"/>
    <w:rsid w:val="00643B44"/>
    <w:rsid w:val="006465E2"/>
    <w:rsid w:val="006622C3"/>
    <w:rsid w:val="006677F1"/>
    <w:rsid w:val="0067100A"/>
    <w:rsid w:val="00671684"/>
    <w:rsid w:val="00680CF9"/>
    <w:rsid w:val="00695801"/>
    <w:rsid w:val="006A4176"/>
    <w:rsid w:val="006A4565"/>
    <w:rsid w:val="006B586D"/>
    <w:rsid w:val="006B58A3"/>
    <w:rsid w:val="006C1B40"/>
    <w:rsid w:val="006C4644"/>
    <w:rsid w:val="006E29A9"/>
    <w:rsid w:val="006E317A"/>
    <w:rsid w:val="006E5CCA"/>
    <w:rsid w:val="006F247F"/>
    <w:rsid w:val="006F4A22"/>
    <w:rsid w:val="006F536C"/>
    <w:rsid w:val="006F6AA6"/>
    <w:rsid w:val="006F6E32"/>
    <w:rsid w:val="00705BC9"/>
    <w:rsid w:val="007060B6"/>
    <w:rsid w:val="00710E5B"/>
    <w:rsid w:val="0071118D"/>
    <w:rsid w:val="007121C3"/>
    <w:rsid w:val="00735F88"/>
    <w:rsid w:val="00765C65"/>
    <w:rsid w:val="00774B19"/>
    <w:rsid w:val="007A0ACE"/>
    <w:rsid w:val="007A0FEC"/>
    <w:rsid w:val="007A6BE9"/>
    <w:rsid w:val="007A7C10"/>
    <w:rsid w:val="007B2C0E"/>
    <w:rsid w:val="007B396E"/>
    <w:rsid w:val="007D67C3"/>
    <w:rsid w:val="007E512F"/>
    <w:rsid w:val="007E5188"/>
    <w:rsid w:val="007F028B"/>
    <w:rsid w:val="00806A8A"/>
    <w:rsid w:val="00812919"/>
    <w:rsid w:val="0082033C"/>
    <w:rsid w:val="008234C7"/>
    <w:rsid w:val="00837A17"/>
    <w:rsid w:val="00856D82"/>
    <w:rsid w:val="00864B3A"/>
    <w:rsid w:val="00867B8B"/>
    <w:rsid w:val="008706AD"/>
    <w:rsid w:val="008778A4"/>
    <w:rsid w:val="00880BA1"/>
    <w:rsid w:val="00885D66"/>
    <w:rsid w:val="00886993"/>
    <w:rsid w:val="00887C24"/>
    <w:rsid w:val="00891184"/>
    <w:rsid w:val="008954F0"/>
    <w:rsid w:val="008A1B2F"/>
    <w:rsid w:val="008A5627"/>
    <w:rsid w:val="008B7746"/>
    <w:rsid w:val="008C1CB0"/>
    <w:rsid w:val="008C5B37"/>
    <w:rsid w:val="008E1DE8"/>
    <w:rsid w:val="008F5C6C"/>
    <w:rsid w:val="008F5E44"/>
    <w:rsid w:val="009068FB"/>
    <w:rsid w:val="00910C80"/>
    <w:rsid w:val="009346E0"/>
    <w:rsid w:val="009348C9"/>
    <w:rsid w:val="00935771"/>
    <w:rsid w:val="0094336B"/>
    <w:rsid w:val="00955551"/>
    <w:rsid w:val="009640E9"/>
    <w:rsid w:val="00967517"/>
    <w:rsid w:val="00971C3E"/>
    <w:rsid w:val="009762FD"/>
    <w:rsid w:val="00980796"/>
    <w:rsid w:val="009908EB"/>
    <w:rsid w:val="00993A91"/>
    <w:rsid w:val="0099435F"/>
    <w:rsid w:val="009B2121"/>
    <w:rsid w:val="009B5CD7"/>
    <w:rsid w:val="009B718E"/>
    <w:rsid w:val="009D149D"/>
    <w:rsid w:val="009D2995"/>
    <w:rsid w:val="009D6E6E"/>
    <w:rsid w:val="009E16AB"/>
    <w:rsid w:val="009E2BA7"/>
    <w:rsid w:val="009F2961"/>
    <w:rsid w:val="009F5AC1"/>
    <w:rsid w:val="009F7EE7"/>
    <w:rsid w:val="00A02431"/>
    <w:rsid w:val="00A11B95"/>
    <w:rsid w:val="00A14CBE"/>
    <w:rsid w:val="00A15D27"/>
    <w:rsid w:val="00A27705"/>
    <w:rsid w:val="00A303BE"/>
    <w:rsid w:val="00A32065"/>
    <w:rsid w:val="00A43AA4"/>
    <w:rsid w:val="00A446A8"/>
    <w:rsid w:val="00A4518D"/>
    <w:rsid w:val="00A45525"/>
    <w:rsid w:val="00A479E5"/>
    <w:rsid w:val="00A560C0"/>
    <w:rsid w:val="00A569E4"/>
    <w:rsid w:val="00A60082"/>
    <w:rsid w:val="00A74C73"/>
    <w:rsid w:val="00A7779A"/>
    <w:rsid w:val="00A92898"/>
    <w:rsid w:val="00A950A4"/>
    <w:rsid w:val="00A9530D"/>
    <w:rsid w:val="00AA529B"/>
    <w:rsid w:val="00AA5CD5"/>
    <w:rsid w:val="00AB4CE2"/>
    <w:rsid w:val="00AE39E9"/>
    <w:rsid w:val="00AE5BCF"/>
    <w:rsid w:val="00AE754C"/>
    <w:rsid w:val="00AF7509"/>
    <w:rsid w:val="00B00227"/>
    <w:rsid w:val="00B17AE7"/>
    <w:rsid w:val="00B26E94"/>
    <w:rsid w:val="00B363FB"/>
    <w:rsid w:val="00B4124C"/>
    <w:rsid w:val="00B54700"/>
    <w:rsid w:val="00B631F9"/>
    <w:rsid w:val="00B662B3"/>
    <w:rsid w:val="00B816BF"/>
    <w:rsid w:val="00B82EB3"/>
    <w:rsid w:val="00B856EE"/>
    <w:rsid w:val="00B87238"/>
    <w:rsid w:val="00B944A0"/>
    <w:rsid w:val="00BA540B"/>
    <w:rsid w:val="00BC09EB"/>
    <w:rsid w:val="00BC1E7E"/>
    <w:rsid w:val="00BC57A7"/>
    <w:rsid w:val="00BD2341"/>
    <w:rsid w:val="00BD3109"/>
    <w:rsid w:val="00C12DF4"/>
    <w:rsid w:val="00C16432"/>
    <w:rsid w:val="00C21833"/>
    <w:rsid w:val="00C238D4"/>
    <w:rsid w:val="00C26B0E"/>
    <w:rsid w:val="00C830C7"/>
    <w:rsid w:val="00C93011"/>
    <w:rsid w:val="00C933B8"/>
    <w:rsid w:val="00C95EC7"/>
    <w:rsid w:val="00CA059C"/>
    <w:rsid w:val="00CB1C23"/>
    <w:rsid w:val="00CB376E"/>
    <w:rsid w:val="00CB5925"/>
    <w:rsid w:val="00CC06C6"/>
    <w:rsid w:val="00CD0A34"/>
    <w:rsid w:val="00CD12CF"/>
    <w:rsid w:val="00CD377F"/>
    <w:rsid w:val="00CE7C3B"/>
    <w:rsid w:val="00CF35C5"/>
    <w:rsid w:val="00CF4825"/>
    <w:rsid w:val="00CF5A1E"/>
    <w:rsid w:val="00D21F58"/>
    <w:rsid w:val="00D25FCF"/>
    <w:rsid w:val="00D27166"/>
    <w:rsid w:val="00D30952"/>
    <w:rsid w:val="00D453B8"/>
    <w:rsid w:val="00D51CCE"/>
    <w:rsid w:val="00D55923"/>
    <w:rsid w:val="00D81DB8"/>
    <w:rsid w:val="00D97CF6"/>
    <w:rsid w:val="00DB647B"/>
    <w:rsid w:val="00DB64D6"/>
    <w:rsid w:val="00DC14D5"/>
    <w:rsid w:val="00DF579D"/>
    <w:rsid w:val="00E249C9"/>
    <w:rsid w:val="00E25338"/>
    <w:rsid w:val="00E25E0E"/>
    <w:rsid w:val="00E3628B"/>
    <w:rsid w:val="00E37672"/>
    <w:rsid w:val="00E400B5"/>
    <w:rsid w:val="00E44DCD"/>
    <w:rsid w:val="00E45A1C"/>
    <w:rsid w:val="00E642DA"/>
    <w:rsid w:val="00E70F7E"/>
    <w:rsid w:val="00E84DF5"/>
    <w:rsid w:val="00E87289"/>
    <w:rsid w:val="00EB05C1"/>
    <w:rsid w:val="00EB6498"/>
    <w:rsid w:val="00EC08B1"/>
    <w:rsid w:val="00ED283A"/>
    <w:rsid w:val="00EE2677"/>
    <w:rsid w:val="00F00A01"/>
    <w:rsid w:val="00F03503"/>
    <w:rsid w:val="00F16C77"/>
    <w:rsid w:val="00F33905"/>
    <w:rsid w:val="00F40EB8"/>
    <w:rsid w:val="00F57497"/>
    <w:rsid w:val="00F603DD"/>
    <w:rsid w:val="00F62097"/>
    <w:rsid w:val="00F70E88"/>
    <w:rsid w:val="00F86BDE"/>
    <w:rsid w:val="00FA215E"/>
    <w:rsid w:val="00FA7E2C"/>
    <w:rsid w:val="00FB1D36"/>
    <w:rsid w:val="00FB2D43"/>
    <w:rsid w:val="00FB4C6D"/>
    <w:rsid w:val="00FB687F"/>
    <w:rsid w:val="00FC313B"/>
    <w:rsid w:val="00FD62E6"/>
    <w:rsid w:val="00FE3FA1"/>
    <w:rsid w:val="00FF0B34"/>
    <w:rsid w:val="00FF7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01E14"/>
  <w15:chartTrackingRefBased/>
  <w15:docId w15:val="{517BE5DE-14D5-4572-8C5E-26B5CF5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C5B37"/>
    <w:pPr>
      <w:widowControl w:val="0"/>
      <w:jc w:val="both"/>
    </w:pPr>
    <w:rPr>
      <w:kern w:val="2"/>
      <w:sz w:val="21"/>
      <w:szCs w:val="24"/>
    </w:rPr>
  </w:style>
  <w:style w:type="paragraph" w:styleId="1">
    <w:name w:val="heading 1"/>
    <w:basedOn w:val="a"/>
    <w:next w:val="a"/>
    <w:link w:val="10"/>
    <w:qFormat/>
    <w:rsid w:val="00BC57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C57A7"/>
    <w:rPr>
      <w:rFonts w:eastAsia="宋体"/>
      <w:b/>
      <w:bCs/>
      <w:kern w:val="44"/>
      <w:sz w:val="44"/>
      <w:szCs w:val="44"/>
      <w:lang w:val="en-US" w:eastAsia="zh-CN" w:bidi="ar-SA"/>
    </w:rPr>
  </w:style>
  <w:style w:type="paragraph" w:styleId="a3">
    <w:name w:val="footer"/>
    <w:basedOn w:val="a"/>
    <w:rsid w:val="00BC57A7"/>
    <w:pPr>
      <w:tabs>
        <w:tab w:val="center" w:pos="4153"/>
        <w:tab w:val="right" w:pos="8306"/>
      </w:tabs>
      <w:snapToGrid w:val="0"/>
      <w:jc w:val="left"/>
    </w:pPr>
    <w:rPr>
      <w:sz w:val="18"/>
      <w:szCs w:val="18"/>
    </w:rPr>
  </w:style>
  <w:style w:type="character" w:styleId="a4">
    <w:name w:val="page number"/>
    <w:basedOn w:val="a0"/>
    <w:rsid w:val="00BC57A7"/>
  </w:style>
  <w:style w:type="paragraph" w:styleId="a5">
    <w:name w:val="header"/>
    <w:basedOn w:val="a"/>
    <w:link w:val="a6"/>
    <w:rsid w:val="00D3095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D30952"/>
    <w:rPr>
      <w:kern w:val="2"/>
      <w:sz w:val="18"/>
      <w:szCs w:val="18"/>
    </w:rPr>
  </w:style>
  <w:style w:type="paragraph" w:styleId="a7">
    <w:name w:val="Balloon Text"/>
    <w:basedOn w:val="a"/>
    <w:link w:val="a8"/>
    <w:rsid w:val="003E0E86"/>
    <w:rPr>
      <w:sz w:val="18"/>
      <w:szCs w:val="18"/>
    </w:rPr>
  </w:style>
  <w:style w:type="character" w:customStyle="1" w:styleId="a8">
    <w:name w:val="批注框文本 字符"/>
    <w:link w:val="a7"/>
    <w:rsid w:val="003E0E86"/>
    <w:rPr>
      <w:kern w:val="2"/>
      <w:sz w:val="18"/>
      <w:szCs w:val="18"/>
    </w:rPr>
  </w:style>
  <w:style w:type="character" w:styleId="a9">
    <w:name w:val="annotation reference"/>
    <w:rsid w:val="007E5188"/>
    <w:rPr>
      <w:sz w:val="21"/>
      <w:szCs w:val="21"/>
    </w:rPr>
  </w:style>
  <w:style w:type="paragraph" w:styleId="aa">
    <w:name w:val="annotation text"/>
    <w:basedOn w:val="a"/>
    <w:link w:val="ab"/>
    <w:rsid w:val="007E5188"/>
    <w:pPr>
      <w:jc w:val="left"/>
    </w:pPr>
  </w:style>
  <w:style w:type="character" w:customStyle="1" w:styleId="ab">
    <w:name w:val="批注文字 字符"/>
    <w:link w:val="aa"/>
    <w:rsid w:val="007E5188"/>
    <w:rPr>
      <w:kern w:val="2"/>
      <w:sz w:val="21"/>
      <w:szCs w:val="24"/>
    </w:rPr>
  </w:style>
  <w:style w:type="paragraph" w:styleId="ac">
    <w:name w:val="annotation subject"/>
    <w:basedOn w:val="aa"/>
    <w:next w:val="aa"/>
    <w:link w:val="ad"/>
    <w:rsid w:val="007E5188"/>
    <w:rPr>
      <w:b/>
      <w:bCs/>
    </w:rPr>
  </w:style>
  <w:style w:type="character" w:customStyle="1" w:styleId="ad">
    <w:name w:val="批注主题 字符"/>
    <w:link w:val="ac"/>
    <w:rsid w:val="007E5188"/>
    <w:rPr>
      <w:b/>
      <w:bCs/>
      <w:kern w:val="2"/>
      <w:sz w:val="21"/>
      <w:szCs w:val="24"/>
    </w:rPr>
  </w:style>
  <w:style w:type="character" w:customStyle="1" w:styleId="fontstyle01">
    <w:name w:val="fontstyle01"/>
    <w:rsid w:val="009E2BA7"/>
    <w:rPr>
      <w:rFonts w:ascii="仿宋" w:eastAsia="仿宋" w:hAnsi="仿宋" w:hint="eastAsia"/>
      <w:b w:val="0"/>
      <w:bCs w:val="0"/>
      <w:i w:val="0"/>
      <w:iCs w:val="0"/>
      <w:color w:val="000000"/>
      <w:sz w:val="24"/>
      <w:szCs w:val="24"/>
    </w:rPr>
  </w:style>
  <w:style w:type="paragraph" w:styleId="ae">
    <w:name w:val="Revision"/>
    <w:hidden/>
    <w:uiPriority w:val="99"/>
    <w:semiHidden/>
    <w:rsid w:val="006A4565"/>
    <w:rPr>
      <w:kern w:val="2"/>
      <w:sz w:val="21"/>
      <w:szCs w:val="24"/>
    </w:rPr>
  </w:style>
  <w:style w:type="paragraph" w:customStyle="1" w:styleId="af">
    <w:name w:val="列出段落"/>
    <w:basedOn w:val="a"/>
    <w:link w:val="Char"/>
    <w:qFormat/>
    <w:rsid w:val="008F5E44"/>
    <w:pPr>
      <w:ind w:firstLineChars="200" w:firstLine="420"/>
    </w:pPr>
    <w:rPr>
      <w:rFonts w:ascii="Calibri" w:hAnsi="Calibri"/>
      <w:szCs w:val="22"/>
      <w:lang w:val="x-none" w:eastAsia="x-none"/>
    </w:rPr>
  </w:style>
  <w:style w:type="character" w:customStyle="1" w:styleId="Char">
    <w:name w:val="列出段落 Char"/>
    <w:link w:val="af"/>
    <w:rsid w:val="008F5E44"/>
    <w:rPr>
      <w:rFonts w:ascii="Calibri" w:hAnsi="Calibri"/>
      <w:kern w:val="2"/>
      <w:sz w:val="21"/>
      <w:szCs w:val="22"/>
      <w:lang w:val="x-none" w:eastAsia="x-none"/>
    </w:rPr>
  </w:style>
  <w:style w:type="paragraph" w:styleId="af0">
    <w:name w:val="Document Map"/>
    <w:basedOn w:val="a"/>
    <w:link w:val="af1"/>
    <w:rsid w:val="000E4ADC"/>
    <w:rPr>
      <w:rFonts w:ascii="宋体"/>
      <w:sz w:val="18"/>
      <w:szCs w:val="18"/>
    </w:rPr>
  </w:style>
  <w:style w:type="character" w:customStyle="1" w:styleId="af1">
    <w:name w:val="文档结构图 字符"/>
    <w:link w:val="af0"/>
    <w:rsid w:val="000E4ADC"/>
    <w:rPr>
      <w:rFonts w:ascii="宋体"/>
      <w:kern w:val="2"/>
      <w:sz w:val="18"/>
      <w:szCs w:val="18"/>
    </w:rPr>
  </w:style>
  <w:style w:type="table" w:styleId="af2">
    <w:name w:val="Table Grid"/>
    <w:basedOn w:val="a1"/>
    <w:rsid w:val="00CE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313"/>
    <w:pPr>
      <w:widowControl w:val="0"/>
      <w:autoSpaceDE w:val="0"/>
      <w:autoSpaceDN w:val="0"/>
      <w:adjustRightInd w:val="0"/>
    </w:pPr>
    <w:rPr>
      <w:rFonts w:ascii="宋体" w:hAnsi="等线"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A5958-8BDB-4BE3-925F-B405753F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567</Words>
  <Characters>3234</Characters>
  <Application>Microsoft Office Word</Application>
  <DocSecurity>0</DocSecurity>
  <Lines>26</Lines>
  <Paragraphs>7</Paragraphs>
  <ScaleCrop>false</ScaleCrop>
  <Company>sse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第十号 上市公司关联交易公告</dc:title>
  <dc:subject/>
  <dc:creator>sse</dc:creator>
  <cp:keywords/>
  <cp:lastModifiedBy>huang lei</cp:lastModifiedBy>
  <cp:revision>20</cp:revision>
  <dcterms:created xsi:type="dcterms:W3CDTF">2021-03-18T02:51:00Z</dcterms:created>
  <dcterms:modified xsi:type="dcterms:W3CDTF">2021-03-24T07:51:00Z</dcterms:modified>
</cp:coreProperties>
</file>