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黑体" w:hAnsi="黑体" w:eastAsia="黑体"/>
          <w:b/>
          <w:bCs/>
          <w:sz w:val="28"/>
          <w:szCs w:val="28"/>
        </w:rPr>
      </w:pPr>
      <w:r>
        <w:rPr>
          <w:rFonts w:hint="eastAsia" w:ascii="黑体" w:hAnsi="黑体" w:eastAsia="黑体"/>
          <w:b/>
          <w:bCs/>
          <w:sz w:val="28"/>
          <w:szCs w:val="28"/>
        </w:rPr>
        <w:t>证券代码：</w:t>
      </w:r>
      <w:r>
        <w:rPr>
          <w:rFonts w:ascii="黑体" w:hAnsi="黑体" w:eastAsia="黑体"/>
          <w:b/>
          <w:bCs/>
          <w:sz w:val="28"/>
          <w:szCs w:val="28"/>
        </w:rPr>
        <w:t xml:space="preserve">688159    </w:t>
      </w:r>
      <w:r>
        <w:rPr>
          <w:rFonts w:hint="eastAsia" w:ascii="黑体" w:hAnsi="黑体" w:eastAsia="黑体"/>
          <w:b/>
          <w:bCs/>
          <w:sz w:val="28"/>
          <w:szCs w:val="28"/>
        </w:rPr>
        <w:t>证券简称：有方科技</w:t>
      </w:r>
      <w:r>
        <w:rPr>
          <w:rFonts w:ascii="黑体" w:hAnsi="黑体" w:eastAsia="黑体"/>
          <w:b/>
          <w:bCs/>
          <w:sz w:val="28"/>
          <w:szCs w:val="28"/>
        </w:rPr>
        <w:t xml:space="preserve">    </w:t>
      </w:r>
      <w:r>
        <w:rPr>
          <w:rFonts w:hint="eastAsia" w:ascii="黑体" w:hAnsi="黑体" w:eastAsia="黑体"/>
          <w:b/>
          <w:bCs/>
          <w:sz w:val="28"/>
          <w:szCs w:val="28"/>
        </w:rPr>
        <w:t>公告编号：2</w:t>
      </w:r>
      <w:r>
        <w:rPr>
          <w:rFonts w:ascii="黑体" w:hAnsi="黑体" w:eastAsia="黑体"/>
          <w:b/>
          <w:bCs/>
          <w:sz w:val="28"/>
          <w:szCs w:val="28"/>
        </w:rPr>
        <w:t>021-028</w:t>
      </w:r>
    </w:p>
    <w:p>
      <w:pPr>
        <w:autoSpaceDE w:val="0"/>
        <w:autoSpaceDN w:val="0"/>
        <w:adjustRightInd w:val="0"/>
        <w:snapToGrid w:val="0"/>
        <w:spacing w:line="360" w:lineRule="auto"/>
        <w:ind w:firstLine="200"/>
        <w:jc w:val="center"/>
        <w:rPr>
          <w:rFonts w:ascii="宋体" w:hAnsi="宋体"/>
          <w:color w:val="000000"/>
          <w:sz w:val="24"/>
        </w:rPr>
      </w:pPr>
    </w:p>
    <w:p>
      <w:pPr>
        <w:autoSpaceDE w:val="0"/>
        <w:autoSpaceDN w:val="0"/>
        <w:adjustRightInd w:val="0"/>
        <w:snapToGrid w:val="0"/>
        <w:spacing w:line="360" w:lineRule="auto"/>
        <w:ind w:firstLine="200"/>
        <w:jc w:val="center"/>
        <w:rPr>
          <w:rFonts w:ascii="黑体" w:hAnsi="黑体" w:eastAsia="黑体"/>
          <w:b/>
          <w:bCs/>
          <w:color w:val="000000" w:themeColor="text1"/>
          <w:sz w:val="36"/>
          <w:szCs w:val="36"/>
          <w14:textFill>
            <w14:solidFill>
              <w14:schemeClr w14:val="tx1"/>
            </w14:solidFill>
          </w14:textFill>
        </w:rPr>
      </w:pPr>
      <w:r>
        <w:rPr>
          <w:rFonts w:hint="eastAsia" w:ascii="黑体" w:hAnsi="黑体" w:eastAsia="黑体"/>
          <w:b/>
          <w:bCs/>
          <w:color w:val="000000" w:themeColor="text1"/>
          <w:sz w:val="36"/>
          <w:szCs w:val="36"/>
          <w14:textFill>
            <w14:solidFill>
              <w14:schemeClr w14:val="tx1"/>
            </w14:solidFill>
          </w14:textFill>
        </w:rPr>
        <w:t>深圳市有方科技股份有限公司</w:t>
      </w:r>
    </w:p>
    <w:p>
      <w:pPr>
        <w:autoSpaceDE w:val="0"/>
        <w:autoSpaceDN w:val="0"/>
        <w:adjustRightInd w:val="0"/>
        <w:snapToGrid w:val="0"/>
        <w:spacing w:line="360" w:lineRule="auto"/>
        <w:ind w:firstLine="200"/>
        <w:jc w:val="center"/>
        <w:rPr>
          <w:rFonts w:ascii="黑体" w:hAnsi="黑体" w:eastAsia="黑体"/>
          <w:b/>
          <w:bCs/>
          <w:color w:val="000000" w:themeColor="text1"/>
          <w:sz w:val="36"/>
          <w:szCs w:val="36"/>
          <w14:textFill>
            <w14:solidFill>
              <w14:schemeClr w14:val="tx1"/>
            </w14:solidFill>
          </w14:textFill>
        </w:rPr>
      </w:pPr>
      <w:r>
        <w:rPr>
          <w:rFonts w:hint="eastAsia" w:ascii="黑体" w:hAnsi="黑体" w:eastAsia="黑体"/>
          <w:b/>
          <w:bCs/>
          <w:color w:val="000000" w:themeColor="text1"/>
          <w:sz w:val="36"/>
          <w:szCs w:val="36"/>
          <w14:textFill>
            <w14:solidFill>
              <w14:schemeClr w14:val="tx1"/>
            </w14:solidFill>
          </w14:textFill>
        </w:rPr>
        <w:t>2020年募集资金存放与使用情况专项报告</w:t>
      </w:r>
    </w:p>
    <w:p>
      <w:pPr>
        <w:autoSpaceDE w:val="0"/>
        <w:autoSpaceDN w:val="0"/>
        <w:adjustRightInd w:val="0"/>
        <w:snapToGrid w:val="0"/>
        <w:spacing w:line="360" w:lineRule="auto"/>
        <w:ind w:firstLine="200"/>
        <w:jc w:val="center"/>
        <w:rPr>
          <w:rFonts w:ascii="黑体" w:hAnsi="黑体" w:eastAsia="黑体"/>
          <w:b/>
          <w:bCs/>
          <w:color w:val="000000" w:themeColor="text1"/>
          <w:sz w:val="36"/>
          <w:szCs w:val="36"/>
          <w14:textFill>
            <w14:solidFill>
              <w14:schemeClr w14:val="tx1"/>
            </w14:solidFill>
          </w14:textFill>
        </w:rPr>
      </w:pPr>
    </w:p>
    <w:p>
      <w:pPr>
        <w:pBdr>
          <w:top w:val="single" w:color="auto" w:sz="4" w:space="1"/>
          <w:left w:val="single" w:color="auto" w:sz="4" w:space="4"/>
          <w:bottom w:val="single" w:color="auto" w:sz="4" w:space="1"/>
          <w:right w:val="single" w:color="auto" w:sz="4" w:space="4"/>
        </w:pBdr>
        <w:adjustRightInd w:val="0"/>
        <w:snapToGrid w:val="0"/>
        <w:spacing w:line="360" w:lineRule="auto"/>
        <w:ind w:firstLine="480" w:firstLineChars="200"/>
        <w:rPr>
          <w:rFonts w:ascii="宋体" w:hAnsi="宋体"/>
          <w:color w:val="000000"/>
          <w:sz w:val="24"/>
        </w:rPr>
      </w:pPr>
      <w:r>
        <w:rPr>
          <w:rFonts w:hint="eastAsia" w:ascii="宋体" w:hAnsi="宋体"/>
          <w:color w:val="000000"/>
          <w:sz w:val="24"/>
        </w:rPr>
        <w:t>本公司董事会及全体董事保证本公告内容不存在任何虚假记载、误导性陈述或者重大遗漏，并对其内容的真实性、准确性和完整性承担个别及连带责任。</w:t>
      </w:r>
    </w:p>
    <w:p>
      <w:pPr>
        <w:adjustRightInd w:val="0"/>
        <w:snapToGrid w:val="0"/>
        <w:spacing w:line="360" w:lineRule="auto"/>
        <w:ind w:firstLine="480" w:firstLineChars="200"/>
        <w:rPr>
          <w:rFonts w:ascii="宋体" w:hAnsi="宋体" w:cs="Arial Unicode MS"/>
          <w:sz w:val="24"/>
        </w:rPr>
      </w:pPr>
    </w:p>
    <w:p>
      <w:pPr>
        <w:adjustRightInd w:val="0"/>
        <w:snapToGrid w:val="0"/>
        <w:spacing w:line="360" w:lineRule="auto"/>
        <w:ind w:firstLine="562" w:firstLineChars="200"/>
        <w:rPr>
          <w:rFonts w:ascii="宋体" w:hAnsi="宋体" w:cs="Arial Unicode MS"/>
          <w:b/>
          <w:sz w:val="28"/>
          <w:szCs w:val="28"/>
        </w:rPr>
      </w:pPr>
      <w:r>
        <w:rPr>
          <w:rFonts w:hint="eastAsia" w:ascii="宋体" w:hAnsi="宋体" w:cs="Arial Unicode MS"/>
          <w:b/>
          <w:sz w:val="28"/>
          <w:szCs w:val="28"/>
        </w:rPr>
        <w:t>一、募集资金基本情况</w:t>
      </w:r>
    </w:p>
    <w:p>
      <w:pPr>
        <w:adjustRightInd w:val="0"/>
        <w:snapToGrid w:val="0"/>
        <w:spacing w:line="360" w:lineRule="auto"/>
        <w:ind w:firstLine="560" w:firstLineChars="200"/>
        <w:rPr>
          <w:rFonts w:ascii="宋体" w:hAnsi="宋体" w:cs="Arial Unicode MS"/>
          <w:sz w:val="28"/>
          <w:szCs w:val="28"/>
        </w:rPr>
      </w:pPr>
      <w:r>
        <w:rPr>
          <w:rStyle w:val="17"/>
          <w:rFonts w:hint="default"/>
          <w:sz w:val="28"/>
          <w:szCs w:val="28"/>
        </w:rPr>
        <w:t>1．实际募集资金的金额及到账情况</w:t>
      </w:r>
    </w:p>
    <w:p>
      <w:pPr>
        <w:adjustRightInd w:val="0"/>
        <w:snapToGrid w:val="0"/>
        <w:spacing w:line="360" w:lineRule="auto"/>
        <w:ind w:firstLine="560" w:firstLineChars="200"/>
        <w:rPr>
          <w:rFonts w:ascii="宋体" w:hAnsi="宋体" w:cs="Arial Unicode MS"/>
          <w:sz w:val="28"/>
          <w:szCs w:val="28"/>
        </w:rPr>
      </w:pPr>
      <w:r>
        <w:rPr>
          <w:rFonts w:hint="eastAsia" w:ascii="宋体" w:hAnsi="宋体" w:cs="Arial Unicode MS"/>
          <w:sz w:val="28"/>
          <w:szCs w:val="28"/>
        </w:rPr>
        <w:t>经中国证券监督管理委员会出具的《关于同意深圳市有方科技股份有限公司首次公开发行股票注册的批复》（证监许可[2019]2971号）核准，公司首次向社会公开发行人民币普通股（A股）2,292万股，每股发行价格20.35元，募集资金总额为466,422.000.00元，扣除发行费用后募集资金净额为412,662,868.55元。立信会计师事务所（特殊普通合伙）对有方科技首次公开发行股票的资金到位情况进行了审验，并出具了《验资报告》（[2020]第ZI10010号）。公司对上述募集资金进行专户存储管理，扣除保荐及承销费用后的募集资金已存入募集资金专户，并已与存放募集资金的商业银行、保荐机构签订了《募集资金三方监管协议》和《募集资金四方监管协议》。</w:t>
      </w:r>
    </w:p>
    <w:p>
      <w:pPr>
        <w:adjustRightInd w:val="0"/>
        <w:snapToGrid w:val="0"/>
        <w:spacing w:line="360" w:lineRule="auto"/>
        <w:ind w:firstLine="560" w:firstLineChars="200"/>
        <w:rPr>
          <w:rFonts w:ascii="宋体" w:hAnsi="宋体" w:cs="Arial Unicode MS"/>
          <w:sz w:val="28"/>
          <w:szCs w:val="28"/>
        </w:rPr>
      </w:pPr>
      <w:r>
        <w:rPr>
          <w:rFonts w:hint="eastAsia" w:ascii="宋体" w:hAnsi="宋体" w:cs="Arial Unicode MS"/>
          <w:sz w:val="28"/>
          <w:szCs w:val="28"/>
        </w:rPr>
        <w:t>2.募集资金本报告期使用金额及期末余额情况</w:t>
      </w:r>
    </w:p>
    <w:p>
      <w:pPr>
        <w:adjustRightInd w:val="0"/>
        <w:snapToGrid w:val="0"/>
        <w:spacing w:line="360" w:lineRule="auto"/>
        <w:ind w:firstLine="560" w:firstLineChars="200"/>
        <w:rPr>
          <w:rFonts w:ascii="宋体" w:hAnsi="宋体" w:cs="Arial Unicode MS"/>
          <w:sz w:val="28"/>
          <w:szCs w:val="28"/>
        </w:rPr>
      </w:pPr>
      <w:r>
        <w:rPr>
          <w:rFonts w:hint="eastAsia" w:ascii="宋体" w:hAnsi="宋体" w:cs="Arial Unicode MS"/>
          <w:sz w:val="28"/>
          <w:szCs w:val="28"/>
        </w:rPr>
        <w:t>截至2020年12月31日，公司使用募集资金及期末余额情况如下：</w:t>
      </w:r>
    </w:p>
    <w:tbl>
      <w:tblPr>
        <w:tblStyle w:val="9"/>
        <w:tblW w:w="5000" w:type="pct"/>
        <w:tblInd w:w="0" w:type="dxa"/>
        <w:shd w:val="clear" w:color="auto" w:fill="FFFFFF" w:themeFill="background1"/>
        <w:tblLayout w:type="fixed"/>
        <w:tblCellMar>
          <w:top w:w="0" w:type="dxa"/>
          <w:left w:w="108" w:type="dxa"/>
          <w:bottom w:w="0" w:type="dxa"/>
          <w:right w:w="108" w:type="dxa"/>
        </w:tblCellMar>
      </w:tblPr>
      <w:tblGrid>
        <w:gridCol w:w="6549"/>
        <w:gridCol w:w="1979"/>
      </w:tblGrid>
      <w:tr>
        <w:tblPrEx>
          <w:shd w:val="clear" w:color="auto" w:fill="FFFFFF" w:themeFill="background1"/>
        </w:tblPrEx>
        <w:trPr>
          <w:trHeight w:val="253" w:hRule="atLeast"/>
        </w:trPr>
        <w:tc>
          <w:tcPr>
            <w:tcW w:w="3840" w:type="pct"/>
            <w:tcBorders>
              <w:top w:val="single" w:color="auto" w:sz="8" w:space="0"/>
              <w:left w:val="single" w:color="auto" w:sz="8" w:space="0"/>
              <w:bottom w:val="single" w:color="auto" w:sz="4" w:space="0"/>
              <w:right w:val="single" w:color="auto" w:sz="4" w:space="0"/>
            </w:tcBorders>
            <w:shd w:val="clear" w:color="auto" w:fill="FFFFFF" w:themeFill="background1"/>
            <w:noWrap/>
            <w:vAlign w:val="center"/>
          </w:tcPr>
          <w:p>
            <w:pPr>
              <w:ind w:right="-76" w:rightChars="-36"/>
              <w:jc w:val="center"/>
              <w:rPr>
                <w:b/>
                <w:bCs/>
                <w:sz w:val="24"/>
              </w:rPr>
            </w:pPr>
            <w:r>
              <w:rPr>
                <w:b/>
                <w:bCs/>
                <w:sz w:val="24"/>
              </w:rPr>
              <w:t>项目</w:t>
            </w:r>
          </w:p>
        </w:tc>
        <w:tc>
          <w:tcPr>
            <w:tcW w:w="1160" w:type="pct"/>
            <w:tcBorders>
              <w:top w:val="single" w:color="auto" w:sz="8" w:space="0"/>
              <w:left w:val="nil"/>
              <w:bottom w:val="single" w:color="auto" w:sz="4" w:space="0"/>
              <w:right w:val="single" w:color="auto" w:sz="8" w:space="0"/>
            </w:tcBorders>
            <w:shd w:val="clear" w:color="auto" w:fill="FFFFFF" w:themeFill="background1"/>
            <w:noWrap/>
            <w:vAlign w:val="center"/>
          </w:tcPr>
          <w:p>
            <w:pPr>
              <w:jc w:val="center"/>
              <w:rPr>
                <w:b/>
                <w:bCs/>
                <w:sz w:val="24"/>
              </w:rPr>
            </w:pPr>
            <w:r>
              <w:rPr>
                <w:b/>
                <w:bCs/>
                <w:sz w:val="24"/>
              </w:rPr>
              <w:t>金额</w:t>
            </w:r>
          </w:p>
          <w:p>
            <w:pPr>
              <w:jc w:val="center"/>
              <w:rPr>
                <w:b/>
                <w:bCs/>
                <w:sz w:val="24"/>
              </w:rPr>
            </w:pPr>
            <w:r>
              <w:rPr>
                <w:b/>
                <w:bCs/>
                <w:sz w:val="24"/>
              </w:rPr>
              <w:t>(人民币元)</w:t>
            </w:r>
          </w:p>
        </w:tc>
      </w:tr>
      <w:tr>
        <w:tblPrEx>
          <w:tblCellMar>
            <w:top w:w="0" w:type="dxa"/>
            <w:left w:w="108" w:type="dxa"/>
            <w:bottom w:w="0" w:type="dxa"/>
            <w:right w:w="108" w:type="dxa"/>
          </w:tblCellMar>
        </w:tblPrEx>
        <w:trPr>
          <w:trHeight w:val="340" w:hRule="atLeast"/>
        </w:trPr>
        <w:tc>
          <w:tcPr>
            <w:tcW w:w="3840" w:type="pct"/>
            <w:tcBorders>
              <w:top w:val="nil"/>
              <w:left w:val="single" w:color="auto" w:sz="8" w:space="0"/>
              <w:bottom w:val="single" w:color="auto" w:sz="4" w:space="0"/>
              <w:right w:val="single" w:color="auto" w:sz="4" w:space="0"/>
            </w:tcBorders>
            <w:shd w:val="clear" w:color="auto" w:fill="FFFFFF" w:themeFill="background1"/>
            <w:noWrap/>
            <w:vAlign w:val="center"/>
          </w:tcPr>
          <w:p>
            <w:pPr>
              <w:rPr>
                <w:sz w:val="24"/>
              </w:rPr>
            </w:pPr>
            <w:r>
              <w:rPr>
                <w:sz w:val="24"/>
              </w:rPr>
              <w:t>募集资金总额</w:t>
            </w:r>
          </w:p>
        </w:tc>
        <w:tc>
          <w:tcPr>
            <w:tcW w:w="1160" w:type="pct"/>
            <w:tcBorders>
              <w:top w:val="nil"/>
              <w:left w:val="nil"/>
              <w:bottom w:val="single" w:color="auto" w:sz="4" w:space="0"/>
              <w:right w:val="single" w:color="auto" w:sz="8" w:space="0"/>
            </w:tcBorders>
            <w:shd w:val="clear" w:color="auto" w:fill="FFFFFF" w:themeFill="background1"/>
            <w:noWrap/>
            <w:vAlign w:val="center"/>
          </w:tcPr>
          <w:p>
            <w:pPr>
              <w:jc w:val="right"/>
              <w:rPr>
                <w:sz w:val="24"/>
              </w:rPr>
            </w:pPr>
            <w:r>
              <w:rPr>
                <w:sz w:val="24"/>
              </w:rPr>
              <w:t>466,422,000.00</w:t>
            </w:r>
          </w:p>
        </w:tc>
      </w:tr>
      <w:tr>
        <w:tblPrEx>
          <w:tblCellMar>
            <w:top w:w="0" w:type="dxa"/>
            <w:left w:w="108" w:type="dxa"/>
            <w:bottom w:w="0" w:type="dxa"/>
            <w:right w:w="108" w:type="dxa"/>
          </w:tblCellMar>
        </w:tblPrEx>
        <w:trPr>
          <w:trHeight w:val="340" w:hRule="atLeast"/>
        </w:trPr>
        <w:tc>
          <w:tcPr>
            <w:tcW w:w="3840" w:type="pct"/>
            <w:tcBorders>
              <w:top w:val="nil"/>
              <w:left w:val="single" w:color="auto" w:sz="8" w:space="0"/>
              <w:bottom w:val="single" w:color="auto" w:sz="4" w:space="0"/>
              <w:right w:val="single" w:color="auto" w:sz="4" w:space="0"/>
            </w:tcBorders>
            <w:shd w:val="clear" w:color="auto" w:fill="FFFFFF" w:themeFill="background1"/>
            <w:noWrap/>
            <w:vAlign w:val="center"/>
          </w:tcPr>
          <w:p>
            <w:pPr>
              <w:rPr>
                <w:sz w:val="24"/>
              </w:rPr>
            </w:pPr>
            <w:r>
              <w:rPr>
                <w:sz w:val="24"/>
              </w:rPr>
              <w:t>减：支付发行有关费用</w:t>
            </w:r>
          </w:p>
        </w:tc>
        <w:tc>
          <w:tcPr>
            <w:tcW w:w="1160" w:type="pct"/>
            <w:tcBorders>
              <w:top w:val="nil"/>
              <w:left w:val="nil"/>
              <w:bottom w:val="single" w:color="auto" w:sz="4" w:space="0"/>
              <w:right w:val="single" w:color="auto" w:sz="8" w:space="0"/>
            </w:tcBorders>
            <w:shd w:val="clear" w:color="auto" w:fill="FFFFFF" w:themeFill="background1"/>
            <w:noWrap/>
            <w:vAlign w:val="center"/>
          </w:tcPr>
          <w:p>
            <w:pPr>
              <w:jc w:val="right"/>
              <w:rPr>
                <w:sz w:val="24"/>
              </w:rPr>
            </w:pPr>
            <w:r>
              <w:rPr>
                <w:sz w:val="24"/>
              </w:rPr>
              <w:t>53,759,146.00</w:t>
            </w:r>
          </w:p>
        </w:tc>
      </w:tr>
      <w:tr>
        <w:tblPrEx>
          <w:tblCellMar>
            <w:top w:w="0" w:type="dxa"/>
            <w:left w:w="108" w:type="dxa"/>
            <w:bottom w:w="0" w:type="dxa"/>
            <w:right w:w="108" w:type="dxa"/>
          </w:tblCellMar>
        </w:tblPrEx>
        <w:trPr>
          <w:trHeight w:val="340" w:hRule="atLeast"/>
        </w:trPr>
        <w:tc>
          <w:tcPr>
            <w:tcW w:w="3840" w:type="pct"/>
            <w:tcBorders>
              <w:top w:val="nil"/>
              <w:left w:val="single" w:color="auto" w:sz="8" w:space="0"/>
              <w:bottom w:val="single" w:color="auto" w:sz="4" w:space="0"/>
              <w:right w:val="single" w:color="auto" w:sz="4" w:space="0"/>
            </w:tcBorders>
            <w:shd w:val="clear" w:color="auto" w:fill="FFFFFF" w:themeFill="background1"/>
            <w:noWrap/>
            <w:vAlign w:val="center"/>
          </w:tcPr>
          <w:p>
            <w:pPr>
              <w:rPr>
                <w:sz w:val="24"/>
              </w:rPr>
            </w:pPr>
            <w:r>
              <w:rPr>
                <w:sz w:val="24"/>
              </w:rPr>
              <w:t>减：募集资金累计使用金额</w:t>
            </w:r>
            <w:r>
              <w:rPr>
                <w:rFonts w:hint="eastAsia"/>
                <w:sz w:val="24"/>
              </w:rPr>
              <w:t>（不包括尚未置换的先期投入金额）</w:t>
            </w:r>
          </w:p>
        </w:tc>
        <w:tc>
          <w:tcPr>
            <w:tcW w:w="1160" w:type="pct"/>
            <w:tcBorders>
              <w:top w:val="nil"/>
              <w:left w:val="nil"/>
              <w:bottom w:val="single" w:color="auto" w:sz="4" w:space="0"/>
              <w:right w:val="single" w:color="auto" w:sz="8" w:space="0"/>
            </w:tcBorders>
            <w:shd w:val="clear" w:color="auto" w:fill="FFFFFF" w:themeFill="background1"/>
            <w:noWrap/>
            <w:vAlign w:val="center"/>
          </w:tcPr>
          <w:p>
            <w:pPr>
              <w:jc w:val="right"/>
              <w:rPr>
                <w:sz w:val="24"/>
              </w:rPr>
            </w:pPr>
            <w:r>
              <w:rPr>
                <w:sz w:val="24"/>
              </w:rPr>
              <w:t>183,724,966.82</w:t>
            </w:r>
          </w:p>
        </w:tc>
      </w:tr>
      <w:tr>
        <w:tblPrEx>
          <w:tblCellMar>
            <w:top w:w="0" w:type="dxa"/>
            <w:left w:w="108" w:type="dxa"/>
            <w:bottom w:w="0" w:type="dxa"/>
            <w:right w:w="108" w:type="dxa"/>
          </w:tblCellMar>
        </w:tblPrEx>
        <w:trPr>
          <w:trHeight w:val="340" w:hRule="atLeast"/>
        </w:trPr>
        <w:tc>
          <w:tcPr>
            <w:tcW w:w="3840" w:type="pct"/>
            <w:tcBorders>
              <w:top w:val="nil"/>
              <w:left w:val="single" w:color="auto" w:sz="8" w:space="0"/>
              <w:bottom w:val="single" w:color="auto" w:sz="4" w:space="0"/>
              <w:right w:val="single" w:color="auto" w:sz="4" w:space="0"/>
            </w:tcBorders>
            <w:shd w:val="clear" w:color="auto" w:fill="FFFFFF" w:themeFill="background1"/>
            <w:noWrap/>
            <w:vAlign w:val="center"/>
          </w:tcPr>
          <w:p>
            <w:pPr>
              <w:rPr>
                <w:sz w:val="24"/>
              </w:rPr>
            </w:pPr>
            <w:r>
              <w:rPr>
                <w:sz w:val="24"/>
              </w:rPr>
              <w:t xml:space="preserve"> 其中：研发总部项目 </w:t>
            </w:r>
          </w:p>
        </w:tc>
        <w:tc>
          <w:tcPr>
            <w:tcW w:w="1160" w:type="pct"/>
            <w:tcBorders>
              <w:top w:val="nil"/>
              <w:left w:val="nil"/>
              <w:bottom w:val="single" w:color="auto" w:sz="4" w:space="0"/>
              <w:right w:val="single" w:color="auto" w:sz="8" w:space="0"/>
            </w:tcBorders>
            <w:shd w:val="clear" w:color="auto" w:fill="FFFFFF" w:themeFill="background1"/>
            <w:noWrap/>
            <w:vAlign w:val="center"/>
          </w:tcPr>
          <w:p>
            <w:pPr>
              <w:jc w:val="right"/>
              <w:rPr>
                <w:sz w:val="24"/>
              </w:rPr>
            </w:pPr>
            <w:r>
              <w:rPr>
                <w:sz w:val="24"/>
              </w:rPr>
              <w:t>32,555,249.19</w:t>
            </w:r>
          </w:p>
        </w:tc>
      </w:tr>
      <w:tr>
        <w:tblPrEx>
          <w:tblCellMar>
            <w:top w:w="0" w:type="dxa"/>
            <w:left w:w="108" w:type="dxa"/>
            <w:bottom w:w="0" w:type="dxa"/>
            <w:right w:w="108" w:type="dxa"/>
          </w:tblCellMar>
        </w:tblPrEx>
        <w:trPr>
          <w:trHeight w:val="340" w:hRule="atLeast"/>
        </w:trPr>
        <w:tc>
          <w:tcPr>
            <w:tcW w:w="3840" w:type="pct"/>
            <w:tcBorders>
              <w:top w:val="nil"/>
              <w:left w:val="single" w:color="auto" w:sz="8" w:space="0"/>
              <w:bottom w:val="single" w:color="auto" w:sz="4" w:space="0"/>
              <w:right w:val="single" w:color="auto" w:sz="4" w:space="0"/>
            </w:tcBorders>
            <w:shd w:val="clear" w:color="auto" w:fill="FFFFFF" w:themeFill="background1"/>
            <w:noWrap/>
            <w:vAlign w:val="center"/>
          </w:tcPr>
          <w:p>
            <w:pPr>
              <w:rPr>
                <w:sz w:val="24"/>
              </w:rPr>
            </w:pPr>
            <w:r>
              <w:rPr>
                <w:sz w:val="24"/>
              </w:rPr>
              <w:t xml:space="preserve">    4G 及 NB 无线通信模块和解决方案研发及产业化项目 </w:t>
            </w:r>
          </w:p>
        </w:tc>
        <w:tc>
          <w:tcPr>
            <w:tcW w:w="1160" w:type="pct"/>
            <w:tcBorders>
              <w:top w:val="nil"/>
              <w:left w:val="nil"/>
              <w:bottom w:val="single" w:color="auto" w:sz="4" w:space="0"/>
              <w:right w:val="single" w:color="auto" w:sz="8" w:space="0"/>
            </w:tcBorders>
            <w:shd w:val="clear" w:color="auto" w:fill="FFFFFF" w:themeFill="background1"/>
            <w:noWrap/>
            <w:vAlign w:val="center"/>
          </w:tcPr>
          <w:p>
            <w:pPr>
              <w:jc w:val="right"/>
              <w:rPr>
                <w:sz w:val="24"/>
              </w:rPr>
            </w:pPr>
            <w:r>
              <w:rPr>
                <w:sz w:val="24"/>
              </w:rPr>
              <w:t>14,916,137.07</w:t>
            </w:r>
          </w:p>
        </w:tc>
      </w:tr>
      <w:tr>
        <w:tblPrEx>
          <w:shd w:val="clear" w:color="auto" w:fill="FFFFFF" w:themeFill="background1"/>
          <w:tblCellMar>
            <w:top w:w="0" w:type="dxa"/>
            <w:left w:w="108" w:type="dxa"/>
            <w:bottom w:w="0" w:type="dxa"/>
            <w:right w:w="108" w:type="dxa"/>
          </w:tblCellMar>
        </w:tblPrEx>
        <w:trPr>
          <w:trHeight w:val="340" w:hRule="atLeast"/>
        </w:trPr>
        <w:tc>
          <w:tcPr>
            <w:tcW w:w="3840" w:type="pct"/>
            <w:tcBorders>
              <w:top w:val="nil"/>
              <w:left w:val="single" w:color="auto" w:sz="8" w:space="0"/>
              <w:bottom w:val="single" w:color="auto" w:sz="4" w:space="0"/>
              <w:right w:val="single" w:color="auto" w:sz="4" w:space="0"/>
            </w:tcBorders>
            <w:shd w:val="clear" w:color="auto" w:fill="FFFFFF" w:themeFill="background1"/>
            <w:noWrap/>
            <w:vAlign w:val="center"/>
          </w:tcPr>
          <w:p>
            <w:pPr>
              <w:rPr>
                <w:sz w:val="24"/>
              </w:rPr>
            </w:pPr>
            <w:r>
              <w:rPr>
                <w:sz w:val="24"/>
              </w:rPr>
              <w:t xml:space="preserve">    5G 无线通信模块和解决方案研发及产业化项目 </w:t>
            </w:r>
          </w:p>
        </w:tc>
        <w:tc>
          <w:tcPr>
            <w:tcW w:w="1160" w:type="pct"/>
            <w:tcBorders>
              <w:top w:val="nil"/>
              <w:left w:val="nil"/>
              <w:bottom w:val="single" w:color="auto" w:sz="4" w:space="0"/>
              <w:right w:val="single" w:color="auto" w:sz="8" w:space="0"/>
            </w:tcBorders>
            <w:shd w:val="clear" w:color="auto" w:fill="FFFFFF" w:themeFill="background1"/>
            <w:noWrap/>
            <w:vAlign w:val="center"/>
          </w:tcPr>
          <w:p>
            <w:pPr>
              <w:jc w:val="right"/>
              <w:rPr>
                <w:sz w:val="24"/>
              </w:rPr>
            </w:pPr>
            <w:r>
              <w:rPr>
                <w:sz w:val="24"/>
              </w:rPr>
              <w:t>31,903,635.19</w:t>
            </w:r>
          </w:p>
        </w:tc>
      </w:tr>
      <w:tr>
        <w:tblPrEx>
          <w:tblCellMar>
            <w:top w:w="0" w:type="dxa"/>
            <w:left w:w="108" w:type="dxa"/>
            <w:bottom w:w="0" w:type="dxa"/>
            <w:right w:w="108" w:type="dxa"/>
          </w:tblCellMar>
        </w:tblPrEx>
        <w:trPr>
          <w:trHeight w:val="340" w:hRule="atLeast"/>
        </w:trPr>
        <w:tc>
          <w:tcPr>
            <w:tcW w:w="3840" w:type="pct"/>
            <w:tcBorders>
              <w:top w:val="nil"/>
              <w:left w:val="single" w:color="auto" w:sz="8" w:space="0"/>
              <w:bottom w:val="single" w:color="auto" w:sz="4" w:space="0"/>
              <w:right w:val="single" w:color="auto" w:sz="4" w:space="0"/>
            </w:tcBorders>
            <w:shd w:val="clear" w:color="auto" w:fill="FFFFFF" w:themeFill="background1"/>
            <w:noWrap/>
            <w:vAlign w:val="center"/>
          </w:tcPr>
          <w:p>
            <w:pPr>
              <w:rPr>
                <w:sz w:val="24"/>
              </w:rPr>
            </w:pPr>
            <w:r>
              <w:rPr>
                <w:sz w:val="24"/>
              </w:rPr>
              <w:t xml:space="preserve">    V2X 解决方案研发及产业化项目 </w:t>
            </w:r>
          </w:p>
        </w:tc>
        <w:tc>
          <w:tcPr>
            <w:tcW w:w="1160" w:type="pct"/>
            <w:tcBorders>
              <w:top w:val="nil"/>
              <w:left w:val="nil"/>
              <w:bottom w:val="single" w:color="auto" w:sz="4" w:space="0"/>
              <w:right w:val="single" w:color="auto" w:sz="8" w:space="0"/>
            </w:tcBorders>
            <w:shd w:val="clear" w:color="auto" w:fill="FFFFFF" w:themeFill="background1"/>
            <w:noWrap/>
            <w:vAlign w:val="center"/>
          </w:tcPr>
          <w:p>
            <w:pPr>
              <w:jc w:val="right"/>
              <w:rPr>
                <w:sz w:val="24"/>
              </w:rPr>
            </w:pPr>
            <w:r>
              <w:rPr>
                <w:sz w:val="24"/>
              </w:rPr>
              <w:t>3,592,345.25</w:t>
            </w:r>
          </w:p>
        </w:tc>
      </w:tr>
      <w:tr>
        <w:tblPrEx>
          <w:tblCellMar>
            <w:top w:w="0" w:type="dxa"/>
            <w:left w:w="108" w:type="dxa"/>
            <w:bottom w:w="0" w:type="dxa"/>
            <w:right w:w="108" w:type="dxa"/>
          </w:tblCellMar>
        </w:tblPrEx>
        <w:trPr>
          <w:trHeight w:val="340" w:hRule="atLeast"/>
        </w:trPr>
        <w:tc>
          <w:tcPr>
            <w:tcW w:w="3840" w:type="pct"/>
            <w:tcBorders>
              <w:top w:val="nil"/>
              <w:left w:val="single" w:color="auto" w:sz="8" w:space="0"/>
              <w:bottom w:val="single" w:color="auto" w:sz="4" w:space="0"/>
              <w:right w:val="single" w:color="auto" w:sz="4" w:space="0"/>
            </w:tcBorders>
            <w:shd w:val="clear" w:color="auto" w:fill="FFFFFF" w:themeFill="background1"/>
            <w:noWrap/>
            <w:vAlign w:val="center"/>
          </w:tcPr>
          <w:p>
            <w:pPr>
              <w:rPr>
                <w:sz w:val="24"/>
              </w:rPr>
            </w:pPr>
            <w:r>
              <w:rPr>
                <w:sz w:val="24"/>
              </w:rPr>
              <w:t xml:space="preserve">    补充流动资金 </w:t>
            </w:r>
          </w:p>
        </w:tc>
        <w:tc>
          <w:tcPr>
            <w:tcW w:w="1160" w:type="pct"/>
            <w:tcBorders>
              <w:top w:val="nil"/>
              <w:left w:val="nil"/>
              <w:bottom w:val="single" w:color="auto" w:sz="4" w:space="0"/>
              <w:right w:val="single" w:color="auto" w:sz="8" w:space="0"/>
            </w:tcBorders>
            <w:shd w:val="clear" w:color="auto" w:fill="FFFFFF" w:themeFill="background1"/>
            <w:noWrap/>
            <w:vAlign w:val="center"/>
          </w:tcPr>
          <w:p>
            <w:pPr>
              <w:jc w:val="right"/>
              <w:rPr>
                <w:sz w:val="24"/>
              </w:rPr>
            </w:pPr>
            <w:r>
              <w:rPr>
                <w:sz w:val="24"/>
              </w:rPr>
              <w:t>100,757,600.12</w:t>
            </w:r>
          </w:p>
        </w:tc>
      </w:tr>
      <w:tr>
        <w:tblPrEx>
          <w:shd w:val="clear" w:color="auto" w:fill="FFFFFF" w:themeFill="background1"/>
          <w:tblCellMar>
            <w:top w:w="0" w:type="dxa"/>
            <w:left w:w="108" w:type="dxa"/>
            <w:bottom w:w="0" w:type="dxa"/>
            <w:right w:w="108" w:type="dxa"/>
          </w:tblCellMar>
        </w:tblPrEx>
        <w:trPr>
          <w:trHeight w:val="340" w:hRule="atLeast"/>
        </w:trPr>
        <w:tc>
          <w:tcPr>
            <w:tcW w:w="3840" w:type="pct"/>
            <w:tcBorders>
              <w:top w:val="nil"/>
              <w:left w:val="single" w:color="auto" w:sz="8" w:space="0"/>
              <w:bottom w:val="single" w:color="auto" w:sz="4" w:space="0"/>
              <w:right w:val="single" w:color="auto" w:sz="4" w:space="0"/>
            </w:tcBorders>
            <w:shd w:val="clear" w:color="auto" w:fill="FFFFFF" w:themeFill="background1"/>
            <w:noWrap/>
            <w:vAlign w:val="center"/>
          </w:tcPr>
          <w:p>
            <w:pPr>
              <w:rPr>
                <w:sz w:val="24"/>
              </w:rPr>
            </w:pPr>
            <w:r>
              <w:rPr>
                <w:sz w:val="24"/>
              </w:rPr>
              <w:t>减：暂时补充流动资金</w:t>
            </w:r>
          </w:p>
        </w:tc>
        <w:tc>
          <w:tcPr>
            <w:tcW w:w="1160" w:type="pct"/>
            <w:tcBorders>
              <w:top w:val="nil"/>
              <w:left w:val="nil"/>
              <w:bottom w:val="single" w:color="auto" w:sz="4" w:space="0"/>
              <w:right w:val="single" w:color="auto" w:sz="8" w:space="0"/>
            </w:tcBorders>
            <w:shd w:val="clear" w:color="auto" w:fill="FFFFFF" w:themeFill="background1"/>
            <w:noWrap/>
            <w:vAlign w:val="center"/>
          </w:tcPr>
          <w:p>
            <w:pPr>
              <w:jc w:val="right"/>
              <w:rPr>
                <w:sz w:val="24"/>
              </w:rPr>
            </w:pPr>
            <w:r>
              <w:rPr>
                <w:sz w:val="24"/>
              </w:rPr>
              <w:t>60,000,000.00</w:t>
            </w:r>
          </w:p>
        </w:tc>
      </w:tr>
      <w:tr>
        <w:tblPrEx>
          <w:tblCellMar>
            <w:top w:w="0" w:type="dxa"/>
            <w:left w:w="108" w:type="dxa"/>
            <w:bottom w:w="0" w:type="dxa"/>
            <w:right w:w="108" w:type="dxa"/>
          </w:tblCellMar>
        </w:tblPrEx>
        <w:trPr>
          <w:trHeight w:val="340" w:hRule="atLeast"/>
        </w:trPr>
        <w:tc>
          <w:tcPr>
            <w:tcW w:w="3840" w:type="pct"/>
            <w:tcBorders>
              <w:top w:val="nil"/>
              <w:left w:val="single" w:color="auto" w:sz="8" w:space="0"/>
              <w:bottom w:val="single" w:color="auto" w:sz="4" w:space="0"/>
              <w:right w:val="single" w:color="auto" w:sz="4" w:space="0"/>
            </w:tcBorders>
            <w:shd w:val="clear" w:color="auto" w:fill="FFFFFF" w:themeFill="background1"/>
            <w:noWrap/>
            <w:vAlign w:val="center"/>
          </w:tcPr>
          <w:p>
            <w:pPr>
              <w:rPr>
                <w:sz w:val="24"/>
              </w:rPr>
            </w:pPr>
            <w:r>
              <w:rPr>
                <w:sz w:val="24"/>
              </w:rPr>
              <w:t>加：募集资金利息收入扣除手续费净额</w:t>
            </w:r>
          </w:p>
        </w:tc>
        <w:tc>
          <w:tcPr>
            <w:tcW w:w="1160" w:type="pct"/>
            <w:tcBorders>
              <w:top w:val="nil"/>
              <w:left w:val="nil"/>
              <w:bottom w:val="single" w:color="auto" w:sz="4" w:space="0"/>
              <w:right w:val="single" w:color="auto" w:sz="8" w:space="0"/>
            </w:tcBorders>
            <w:shd w:val="clear" w:color="auto" w:fill="FFFFFF" w:themeFill="background1"/>
            <w:noWrap/>
            <w:vAlign w:val="center"/>
          </w:tcPr>
          <w:p>
            <w:pPr>
              <w:jc w:val="right"/>
              <w:rPr>
                <w:sz w:val="24"/>
              </w:rPr>
            </w:pPr>
            <w:r>
              <w:rPr>
                <w:sz w:val="24"/>
              </w:rPr>
              <w:t>6,976,202.33</w:t>
            </w:r>
          </w:p>
        </w:tc>
      </w:tr>
      <w:tr>
        <w:tblPrEx>
          <w:tblCellMar>
            <w:top w:w="0" w:type="dxa"/>
            <w:left w:w="108" w:type="dxa"/>
            <w:bottom w:w="0" w:type="dxa"/>
            <w:right w:w="108" w:type="dxa"/>
          </w:tblCellMar>
        </w:tblPrEx>
        <w:trPr>
          <w:trHeight w:val="340" w:hRule="atLeast"/>
        </w:trPr>
        <w:tc>
          <w:tcPr>
            <w:tcW w:w="3840" w:type="pct"/>
            <w:tcBorders>
              <w:top w:val="nil"/>
              <w:left w:val="single" w:color="auto" w:sz="8" w:space="0"/>
              <w:bottom w:val="single" w:color="auto" w:sz="4" w:space="0"/>
              <w:right w:val="single" w:color="auto" w:sz="4" w:space="0"/>
            </w:tcBorders>
            <w:shd w:val="clear" w:color="auto" w:fill="FFFFFF" w:themeFill="background1"/>
            <w:noWrap/>
            <w:vAlign w:val="center"/>
          </w:tcPr>
          <w:p>
            <w:pPr>
              <w:rPr>
                <w:sz w:val="24"/>
              </w:rPr>
            </w:pPr>
            <w:r>
              <w:rPr>
                <w:sz w:val="24"/>
              </w:rPr>
              <w:t>截</w:t>
            </w:r>
            <w:r>
              <w:rPr>
                <w:rFonts w:hint="eastAsia"/>
                <w:sz w:val="24"/>
              </w:rPr>
              <w:t>至</w:t>
            </w:r>
            <w:r>
              <w:rPr>
                <w:sz w:val="24"/>
              </w:rPr>
              <w:t xml:space="preserve"> 2020年12月31日募集资金余额</w:t>
            </w:r>
          </w:p>
        </w:tc>
        <w:tc>
          <w:tcPr>
            <w:tcW w:w="1160" w:type="pct"/>
            <w:tcBorders>
              <w:top w:val="nil"/>
              <w:left w:val="nil"/>
              <w:bottom w:val="single" w:color="auto" w:sz="4" w:space="0"/>
              <w:right w:val="single" w:color="auto" w:sz="8" w:space="0"/>
            </w:tcBorders>
            <w:shd w:val="clear" w:color="auto" w:fill="FFFFFF" w:themeFill="background1"/>
            <w:noWrap/>
            <w:vAlign w:val="center"/>
          </w:tcPr>
          <w:p>
            <w:pPr>
              <w:jc w:val="right"/>
              <w:rPr>
                <w:sz w:val="24"/>
              </w:rPr>
            </w:pPr>
            <w:r>
              <w:rPr>
                <w:sz w:val="24"/>
              </w:rPr>
              <w:t>175,914,089.51</w:t>
            </w:r>
          </w:p>
        </w:tc>
      </w:tr>
      <w:tr>
        <w:tblPrEx>
          <w:tblCellMar>
            <w:top w:w="0" w:type="dxa"/>
            <w:left w:w="108" w:type="dxa"/>
            <w:bottom w:w="0" w:type="dxa"/>
            <w:right w:w="108" w:type="dxa"/>
          </w:tblCellMar>
        </w:tblPrEx>
        <w:trPr>
          <w:trHeight w:val="340" w:hRule="atLeast"/>
        </w:trPr>
        <w:tc>
          <w:tcPr>
            <w:tcW w:w="3840" w:type="pct"/>
            <w:tcBorders>
              <w:top w:val="single" w:color="auto" w:sz="4" w:space="0"/>
              <w:left w:val="single" w:color="auto" w:sz="8" w:space="0"/>
              <w:bottom w:val="single" w:color="auto" w:sz="4" w:space="0"/>
              <w:right w:val="single" w:color="auto" w:sz="4" w:space="0"/>
            </w:tcBorders>
            <w:shd w:val="clear" w:color="auto" w:fill="FFFFFF" w:themeFill="background1"/>
            <w:noWrap/>
            <w:vAlign w:val="center"/>
          </w:tcPr>
          <w:p>
            <w:pPr>
              <w:rPr>
                <w:sz w:val="24"/>
              </w:rPr>
            </w:pPr>
            <w:r>
              <w:rPr>
                <w:sz w:val="24"/>
              </w:rPr>
              <w:t>其中：募集资金专户余额</w:t>
            </w:r>
          </w:p>
        </w:tc>
        <w:tc>
          <w:tcPr>
            <w:tcW w:w="1160" w:type="pct"/>
            <w:tcBorders>
              <w:top w:val="single" w:color="auto" w:sz="4" w:space="0"/>
              <w:left w:val="nil"/>
              <w:bottom w:val="single" w:color="auto" w:sz="4" w:space="0"/>
              <w:right w:val="single" w:color="auto" w:sz="8" w:space="0"/>
            </w:tcBorders>
            <w:shd w:val="clear" w:color="auto" w:fill="FFFFFF" w:themeFill="background1"/>
            <w:noWrap/>
            <w:vAlign w:val="center"/>
          </w:tcPr>
          <w:p>
            <w:pPr>
              <w:jc w:val="right"/>
              <w:rPr>
                <w:sz w:val="24"/>
              </w:rPr>
            </w:pPr>
            <w:r>
              <w:rPr>
                <w:sz w:val="24"/>
              </w:rPr>
              <w:t>8,914,089.51</w:t>
            </w:r>
          </w:p>
        </w:tc>
      </w:tr>
      <w:tr>
        <w:tblPrEx>
          <w:shd w:val="clear" w:color="auto" w:fill="FFFFFF" w:themeFill="background1"/>
          <w:tblCellMar>
            <w:top w:w="0" w:type="dxa"/>
            <w:left w:w="108" w:type="dxa"/>
            <w:bottom w:w="0" w:type="dxa"/>
            <w:right w:w="108" w:type="dxa"/>
          </w:tblCellMar>
        </w:tblPrEx>
        <w:trPr>
          <w:trHeight w:val="340" w:hRule="atLeast"/>
        </w:trPr>
        <w:tc>
          <w:tcPr>
            <w:tcW w:w="3840" w:type="pct"/>
            <w:tcBorders>
              <w:top w:val="single" w:color="auto" w:sz="4" w:space="0"/>
              <w:left w:val="single" w:color="auto" w:sz="8" w:space="0"/>
              <w:bottom w:val="single" w:color="auto" w:sz="8" w:space="0"/>
              <w:right w:val="single" w:color="auto" w:sz="4" w:space="0"/>
            </w:tcBorders>
            <w:shd w:val="clear" w:color="auto" w:fill="FFFFFF" w:themeFill="background1"/>
            <w:noWrap/>
            <w:vAlign w:val="center"/>
          </w:tcPr>
          <w:p>
            <w:pPr>
              <w:rPr>
                <w:sz w:val="24"/>
              </w:rPr>
            </w:pPr>
            <w:r>
              <w:rPr>
                <w:sz w:val="24"/>
              </w:rPr>
              <w:t>理财产品余额</w:t>
            </w:r>
          </w:p>
        </w:tc>
        <w:tc>
          <w:tcPr>
            <w:tcW w:w="1160" w:type="pct"/>
            <w:tcBorders>
              <w:top w:val="single" w:color="auto" w:sz="4" w:space="0"/>
              <w:left w:val="nil"/>
              <w:bottom w:val="single" w:color="auto" w:sz="8" w:space="0"/>
              <w:right w:val="single" w:color="auto" w:sz="8" w:space="0"/>
            </w:tcBorders>
            <w:shd w:val="clear" w:color="auto" w:fill="FFFFFF" w:themeFill="background1"/>
            <w:noWrap/>
            <w:vAlign w:val="center"/>
          </w:tcPr>
          <w:p>
            <w:pPr>
              <w:jc w:val="right"/>
              <w:rPr>
                <w:sz w:val="24"/>
              </w:rPr>
            </w:pPr>
            <w:r>
              <w:rPr>
                <w:sz w:val="24"/>
              </w:rPr>
              <w:t>167,000,000.00</w:t>
            </w:r>
          </w:p>
        </w:tc>
      </w:tr>
    </w:tbl>
    <w:p>
      <w:pPr>
        <w:adjustRightInd w:val="0"/>
        <w:snapToGrid w:val="0"/>
        <w:spacing w:line="360" w:lineRule="auto"/>
        <w:ind w:firstLine="480" w:firstLineChars="200"/>
        <w:rPr>
          <w:rFonts w:ascii="宋体" w:hAnsi="宋体" w:cs="Arial Unicode MS"/>
          <w:sz w:val="24"/>
        </w:rPr>
      </w:pPr>
      <w:r>
        <w:rPr>
          <w:rFonts w:hint="eastAsia" w:ascii="宋体" w:hAnsi="宋体" w:cs="Arial Unicode MS"/>
          <w:sz w:val="24"/>
        </w:rPr>
        <w:t>注1：公司于2020年6月29日发布了《关于使用募集资金置换预先投入的自筹资金的公告》，拟置换资金2,843.21万元。截至2020年12月31日已从募集资金监管户中置换转出2,609.51万元。</w:t>
      </w:r>
    </w:p>
    <w:p>
      <w:pPr>
        <w:adjustRightInd w:val="0"/>
        <w:snapToGrid w:val="0"/>
        <w:spacing w:line="360" w:lineRule="auto"/>
        <w:ind w:firstLine="480" w:firstLineChars="200"/>
        <w:rPr>
          <w:rFonts w:ascii="宋体" w:hAnsi="宋体" w:cs="Arial Unicode MS"/>
          <w:sz w:val="24"/>
        </w:rPr>
      </w:pPr>
      <w:r>
        <w:rPr>
          <w:rFonts w:hint="eastAsia" w:ascii="宋体" w:hAnsi="宋体" w:cs="Arial Unicode MS"/>
          <w:sz w:val="24"/>
        </w:rPr>
        <w:t>注2：补充流动资金项目截至期末累计投入金额超过承诺投入金额的差额系利息收入投入导致</w:t>
      </w:r>
    </w:p>
    <w:p>
      <w:pPr>
        <w:adjustRightInd w:val="0"/>
        <w:snapToGrid w:val="0"/>
        <w:spacing w:line="360" w:lineRule="auto"/>
        <w:ind w:firstLine="562" w:firstLineChars="200"/>
        <w:rPr>
          <w:rFonts w:ascii="宋体" w:hAnsi="宋体" w:cs="Arial Unicode MS"/>
          <w:b/>
          <w:sz w:val="28"/>
          <w:szCs w:val="28"/>
        </w:rPr>
      </w:pPr>
      <w:r>
        <w:rPr>
          <w:rFonts w:hint="eastAsia" w:ascii="宋体" w:hAnsi="宋体" w:cs="Arial Unicode MS"/>
          <w:b/>
          <w:sz w:val="28"/>
          <w:szCs w:val="28"/>
        </w:rPr>
        <w:t>二、募集资金管理情况</w:t>
      </w:r>
      <w:bookmarkStart w:id="0" w:name="_GoBack"/>
      <w:bookmarkEnd w:id="0"/>
    </w:p>
    <w:p>
      <w:pPr>
        <w:adjustRightInd w:val="0"/>
        <w:snapToGrid w:val="0"/>
        <w:spacing w:line="360" w:lineRule="auto"/>
        <w:ind w:firstLine="560" w:firstLineChars="200"/>
        <w:rPr>
          <w:rFonts w:ascii="宋体" w:hAnsi="宋体" w:cs="Arial Unicode MS"/>
          <w:bCs/>
          <w:sz w:val="28"/>
          <w:szCs w:val="28"/>
        </w:rPr>
      </w:pPr>
      <w:r>
        <w:rPr>
          <w:rFonts w:hint="eastAsia" w:ascii="宋体" w:hAnsi="宋体" w:cs="Arial Unicode MS"/>
          <w:bCs/>
          <w:sz w:val="28"/>
          <w:szCs w:val="28"/>
        </w:rPr>
        <w:t>（一）募集资金管理制度情况</w:t>
      </w:r>
    </w:p>
    <w:p>
      <w:pPr>
        <w:adjustRightInd w:val="0"/>
        <w:snapToGrid w:val="0"/>
        <w:spacing w:line="360" w:lineRule="auto"/>
        <w:ind w:firstLine="560" w:firstLineChars="200"/>
        <w:rPr>
          <w:rFonts w:ascii="宋体" w:hAnsi="宋体" w:cs="Arial Unicode MS"/>
          <w:sz w:val="28"/>
          <w:szCs w:val="28"/>
        </w:rPr>
      </w:pPr>
      <w:r>
        <w:rPr>
          <w:rFonts w:hint="eastAsia" w:ascii="宋体" w:hAnsi="宋体" w:cs="Arial Unicode MS"/>
          <w:sz w:val="28"/>
          <w:szCs w:val="28"/>
        </w:rPr>
        <w:t>为规范公司募集资金的使用与管理，保护投资者权益，提高募集资金使用效益，公司依照《上海证券交易所科创板股票上市规则》、《上海证券交易所上市公司募集资金管理办法》以及中国证监会相关文件的规定，结合公司实际情况，制定了《募集资金管理制度》。公司根据《募集资金管理制度》的规定，对募集资金采用专户存储制度，并严格履行使用审批手续，以便对募集资金的管理和使用进行监督，保证专款专用。</w:t>
      </w:r>
    </w:p>
    <w:p>
      <w:pPr>
        <w:adjustRightInd w:val="0"/>
        <w:snapToGrid w:val="0"/>
        <w:spacing w:line="360" w:lineRule="auto"/>
        <w:ind w:firstLine="560" w:firstLineChars="200"/>
        <w:rPr>
          <w:rFonts w:ascii="宋体" w:hAnsi="宋体" w:cs="Arial Unicode MS"/>
          <w:sz w:val="28"/>
          <w:szCs w:val="28"/>
        </w:rPr>
      </w:pPr>
      <w:r>
        <w:rPr>
          <w:rFonts w:hint="eastAsia" w:ascii="宋体" w:hAnsi="宋体" w:cs="Arial Unicode MS"/>
          <w:sz w:val="28"/>
          <w:szCs w:val="28"/>
        </w:rPr>
        <w:t>（二）募集资金三方、四方监管协议情况</w:t>
      </w:r>
    </w:p>
    <w:p>
      <w:pPr>
        <w:adjustRightInd w:val="0"/>
        <w:snapToGrid w:val="0"/>
        <w:spacing w:line="360" w:lineRule="auto"/>
        <w:ind w:firstLine="560" w:firstLineChars="200"/>
        <w:rPr>
          <w:rFonts w:ascii="宋体" w:hAnsi="宋体" w:cs="Arial Unicode MS"/>
          <w:sz w:val="28"/>
          <w:szCs w:val="28"/>
        </w:rPr>
      </w:pPr>
      <w:r>
        <w:rPr>
          <w:rFonts w:hint="eastAsia" w:ascii="宋体" w:hAnsi="宋体" w:cs="Arial Unicode MS"/>
          <w:sz w:val="28"/>
          <w:szCs w:val="28"/>
        </w:rPr>
        <w:t>根据《上市公司监管指引第 2 号——上市公司募集资金管理和使用的监管要求》（证监会公告[2012]44 号）、《上海证券交易所上市公司募集资金管理办法（2013年修订）》等法律、法规以及规范性文件和《公司章程》《募集资金管理制度》，公司与开户银行、募投项目联合实施主体、保荐机构华创证券有限责任公司（以下简称“华创证券”）签订了《募集资金专户存储三方监管协议》及《募集资金专户存储四方监管协议》、协议内容与《上海证券交易所募集资金专户存储三方监管协议（范本）》不存在重大差异。</w:t>
      </w:r>
    </w:p>
    <w:p>
      <w:pPr>
        <w:adjustRightInd w:val="0"/>
        <w:snapToGrid w:val="0"/>
        <w:spacing w:line="360" w:lineRule="auto"/>
        <w:ind w:firstLine="560" w:firstLineChars="200"/>
        <w:rPr>
          <w:rFonts w:ascii="宋体" w:hAnsi="宋体" w:cs="Arial Unicode MS"/>
          <w:sz w:val="28"/>
          <w:szCs w:val="28"/>
        </w:rPr>
      </w:pPr>
      <w:r>
        <w:rPr>
          <w:sz w:val="28"/>
          <w:szCs w:val="28"/>
        </w:rPr>
        <w:t>内容详见公司刊登在上海证券交易所网站（www.sse.com.cn）的</w:t>
      </w:r>
      <w:r>
        <w:rPr>
          <w:rFonts w:hint="eastAsia"/>
          <w:sz w:val="28"/>
          <w:szCs w:val="28"/>
        </w:rPr>
        <w:t>《上市公告书》和相关临时</w:t>
      </w:r>
      <w:r>
        <w:rPr>
          <w:sz w:val="28"/>
          <w:szCs w:val="28"/>
        </w:rPr>
        <w:t>公告（公告编号：2020-020）。</w:t>
      </w:r>
    </w:p>
    <w:p>
      <w:pPr>
        <w:adjustRightInd w:val="0"/>
        <w:snapToGrid w:val="0"/>
        <w:spacing w:line="360" w:lineRule="auto"/>
        <w:ind w:firstLine="560" w:firstLineChars="200"/>
        <w:rPr>
          <w:rFonts w:ascii="宋体" w:hAnsi="宋体" w:cs="Arial Unicode MS"/>
          <w:sz w:val="28"/>
          <w:szCs w:val="28"/>
        </w:rPr>
      </w:pPr>
      <w:r>
        <w:rPr>
          <w:rFonts w:hint="eastAsia" w:ascii="宋体" w:hAnsi="宋体" w:cs="Arial Unicode MS"/>
          <w:sz w:val="28"/>
          <w:szCs w:val="28"/>
        </w:rPr>
        <w:t>（三）募集资金专户存储情况</w:t>
      </w:r>
    </w:p>
    <w:p>
      <w:pPr>
        <w:adjustRightInd w:val="0"/>
        <w:snapToGrid w:val="0"/>
        <w:spacing w:line="360" w:lineRule="auto"/>
        <w:ind w:firstLine="560" w:firstLineChars="200"/>
        <w:rPr>
          <w:rFonts w:ascii="宋体" w:hAnsi="宋体" w:cs="Arial Unicode MS"/>
          <w:sz w:val="28"/>
          <w:szCs w:val="28"/>
        </w:rPr>
      </w:pPr>
      <w:r>
        <w:rPr>
          <w:rFonts w:hint="eastAsia" w:ascii="宋体" w:hAnsi="宋体" w:cs="Arial Unicode MS"/>
          <w:sz w:val="28"/>
          <w:szCs w:val="28"/>
        </w:rPr>
        <w:t>截至2020年12月31日，公司募集资金专户存储情况如下：</w:t>
      </w:r>
    </w:p>
    <w:tbl>
      <w:tblPr>
        <w:tblStyle w:val="10"/>
        <w:tblW w:w="83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81"/>
        <w:gridCol w:w="2693"/>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3681" w:type="dxa"/>
            <w:noWrap/>
            <w:vAlign w:val="center"/>
          </w:tcPr>
          <w:p>
            <w:pPr>
              <w:widowControl/>
              <w:jc w:val="center"/>
              <w:rPr>
                <w:rFonts w:eastAsiaTheme="minorEastAsia"/>
                <w:b/>
                <w:color w:val="000000"/>
                <w:kern w:val="0"/>
                <w:sz w:val="24"/>
              </w:rPr>
            </w:pPr>
            <w:r>
              <w:rPr>
                <w:rFonts w:eastAsiaTheme="minorEastAsia"/>
                <w:b/>
                <w:color w:val="000000"/>
                <w:kern w:val="0"/>
                <w:sz w:val="24"/>
              </w:rPr>
              <w:t>银行</w:t>
            </w:r>
          </w:p>
        </w:tc>
        <w:tc>
          <w:tcPr>
            <w:tcW w:w="2693" w:type="dxa"/>
            <w:noWrap/>
            <w:vAlign w:val="center"/>
          </w:tcPr>
          <w:p>
            <w:pPr>
              <w:widowControl/>
              <w:jc w:val="center"/>
              <w:rPr>
                <w:rFonts w:eastAsiaTheme="minorEastAsia"/>
                <w:b/>
                <w:color w:val="000000"/>
                <w:kern w:val="0"/>
                <w:sz w:val="24"/>
              </w:rPr>
            </w:pPr>
            <w:r>
              <w:rPr>
                <w:rFonts w:eastAsiaTheme="minorEastAsia"/>
                <w:b/>
                <w:color w:val="000000"/>
                <w:kern w:val="0"/>
                <w:sz w:val="24"/>
              </w:rPr>
              <w:t>账号</w:t>
            </w:r>
          </w:p>
        </w:tc>
        <w:tc>
          <w:tcPr>
            <w:tcW w:w="1936" w:type="dxa"/>
            <w:noWrap/>
            <w:vAlign w:val="center"/>
          </w:tcPr>
          <w:p>
            <w:pPr>
              <w:widowControl/>
              <w:jc w:val="center"/>
              <w:rPr>
                <w:rFonts w:eastAsiaTheme="minorEastAsia"/>
                <w:b/>
                <w:color w:val="000000"/>
                <w:kern w:val="0"/>
                <w:sz w:val="24"/>
              </w:rPr>
            </w:pPr>
            <w:r>
              <w:rPr>
                <w:rFonts w:eastAsiaTheme="minorEastAsia"/>
                <w:b/>
                <w:color w:val="000000"/>
                <w:kern w:val="0"/>
                <w:sz w:val="24"/>
              </w:rPr>
              <w:t>募集资金余额</w:t>
            </w:r>
          </w:p>
          <w:p>
            <w:pPr>
              <w:widowControl/>
              <w:jc w:val="center"/>
              <w:rPr>
                <w:rFonts w:eastAsiaTheme="minorEastAsia"/>
                <w:b/>
                <w:color w:val="000000"/>
                <w:kern w:val="0"/>
                <w:sz w:val="24"/>
              </w:rPr>
            </w:pPr>
            <w:r>
              <w:rPr>
                <w:rFonts w:eastAsiaTheme="minorEastAsia"/>
                <w:b/>
                <w:color w:val="000000"/>
                <w:kern w:val="0"/>
                <w:sz w:val="24"/>
              </w:rPr>
              <w:t>（人民币元）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3681" w:type="dxa"/>
            <w:noWrap/>
            <w:vAlign w:val="center"/>
          </w:tcPr>
          <w:p>
            <w:pPr>
              <w:widowControl/>
              <w:jc w:val="left"/>
              <w:rPr>
                <w:rFonts w:eastAsiaTheme="minorEastAsia"/>
                <w:color w:val="000000"/>
                <w:kern w:val="0"/>
                <w:sz w:val="24"/>
              </w:rPr>
            </w:pPr>
            <w:r>
              <w:rPr>
                <w:rFonts w:eastAsiaTheme="minorEastAsia"/>
                <w:color w:val="000000"/>
                <w:kern w:val="0"/>
                <w:sz w:val="24"/>
              </w:rPr>
              <w:t>东莞银行松山湖科技支行</w:t>
            </w:r>
          </w:p>
        </w:tc>
        <w:tc>
          <w:tcPr>
            <w:tcW w:w="2693" w:type="dxa"/>
            <w:noWrap/>
            <w:vAlign w:val="center"/>
          </w:tcPr>
          <w:p>
            <w:pPr>
              <w:widowControl/>
              <w:jc w:val="left"/>
              <w:rPr>
                <w:rFonts w:eastAsiaTheme="minorEastAsia"/>
                <w:color w:val="000000"/>
                <w:kern w:val="0"/>
                <w:sz w:val="24"/>
              </w:rPr>
            </w:pPr>
            <w:r>
              <w:rPr>
                <w:rFonts w:eastAsiaTheme="minorEastAsia"/>
                <w:color w:val="000000"/>
                <w:kern w:val="0"/>
                <w:sz w:val="24"/>
              </w:rPr>
              <w:t>530003901003540</w:t>
            </w:r>
          </w:p>
        </w:tc>
        <w:tc>
          <w:tcPr>
            <w:tcW w:w="1936" w:type="dxa"/>
            <w:noWrap/>
            <w:vAlign w:val="center"/>
          </w:tcPr>
          <w:p>
            <w:pPr>
              <w:widowControl/>
              <w:jc w:val="right"/>
              <w:rPr>
                <w:rFonts w:eastAsiaTheme="minorEastAsia"/>
                <w:color w:val="000000"/>
                <w:kern w:val="0"/>
                <w:sz w:val="24"/>
              </w:rPr>
            </w:pPr>
            <w:r>
              <w:rPr>
                <w:rFonts w:eastAsiaTheme="minorEastAsia"/>
                <w:color w:val="000000"/>
                <w:kern w:val="0"/>
                <w:sz w:val="24"/>
              </w:rPr>
              <w:t>2,535.68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3681" w:type="dxa"/>
            <w:noWrap/>
            <w:vAlign w:val="center"/>
          </w:tcPr>
          <w:p>
            <w:pPr>
              <w:widowControl/>
              <w:jc w:val="left"/>
              <w:rPr>
                <w:rFonts w:eastAsiaTheme="minorEastAsia"/>
                <w:color w:val="000000"/>
                <w:kern w:val="0"/>
                <w:sz w:val="24"/>
              </w:rPr>
            </w:pPr>
            <w:r>
              <w:rPr>
                <w:rFonts w:eastAsiaTheme="minorEastAsia"/>
                <w:color w:val="000000"/>
                <w:kern w:val="0"/>
                <w:sz w:val="24"/>
              </w:rPr>
              <w:t>东莞银行松山湖科技支行</w:t>
            </w:r>
          </w:p>
        </w:tc>
        <w:tc>
          <w:tcPr>
            <w:tcW w:w="2693" w:type="dxa"/>
            <w:noWrap/>
            <w:vAlign w:val="center"/>
          </w:tcPr>
          <w:p>
            <w:pPr>
              <w:widowControl/>
              <w:jc w:val="left"/>
              <w:rPr>
                <w:rFonts w:eastAsiaTheme="minorEastAsia"/>
                <w:color w:val="000000"/>
                <w:kern w:val="0"/>
                <w:sz w:val="24"/>
              </w:rPr>
            </w:pPr>
            <w:r>
              <w:rPr>
                <w:rFonts w:eastAsiaTheme="minorEastAsia"/>
                <w:color w:val="000000"/>
                <w:kern w:val="0"/>
                <w:sz w:val="24"/>
              </w:rPr>
              <w:t>530003901003541</w:t>
            </w:r>
          </w:p>
        </w:tc>
        <w:tc>
          <w:tcPr>
            <w:tcW w:w="1936" w:type="dxa"/>
            <w:noWrap/>
            <w:vAlign w:val="center"/>
          </w:tcPr>
          <w:p>
            <w:pPr>
              <w:widowControl/>
              <w:jc w:val="right"/>
              <w:rPr>
                <w:rFonts w:eastAsiaTheme="minorEastAsia"/>
                <w:color w:val="000000"/>
                <w:kern w:val="0"/>
                <w:sz w:val="24"/>
              </w:rPr>
            </w:pPr>
            <w:r>
              <w:rPr>
                <w:rFonts w:eastAsiaTheme="minorEastAsia"/>
                <w:color w:val="000000"/>
                <w:kern w:val="0"/>
                <w:sz w:val="24"/>
              </w:rPr>
              <w:t>302,491.76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3681" w:type="dxa"/>
            <w:noWrap/>
            <w:vAlign w:val="center"/>
          </w:tcPr>
          <w:p>
            <w:pPr>
              <w:widowControl/>
              <w:jc w:val="left"/>
              <w:rPr>
                <w:rFonts w:eastAsiaTheme="minorEastAsia"/>
                <w:color w:val="000000"/>
                <w:kern w:val="0"/>
                <w:sz w:val="24"/>
              </w:rPr>
            </w:pPr>
            <w:r>
              <w:rPr>
                <w:rFonts w:eastAsiaTheme="minorEastAsia"/>
                <w:color w:val="000000"/>
                <w:kern w:val="0"/>
                <w:sz w:val="24"/>
              </w:rPr>
              <w:t>杭州银行深圳龙岗支行</w:t>
            </w:r>
          </w:p>
        </w:tc>
        <w:tc>
          <w:tcPr>
            <w:tcW w:w="2693" w:type="dxa"/>
            <w:noWrap/>
            <w:vAlign w:val="center"/>
          </w:tcPr>
          <w:p>
            <w:pPr>
              <w:widowControl/>
              <w:jc w:val="left"/>
              <w:rPr>
                <w:rFonts w:eastAsiaTheme="minorEastAsia"/>
                <w:color w:val="000000"/>
                <w:kern w:val="0"/>
                <w:sz w:val="24"/>
              </w:rPr>
            </w:pPr>
            <w:r>
              <w:rPr>
                <w:rFonts w:eastAsiaTheme="minorEastAsia"/>
                <w:color w:val="000000"/>
                <w:kern w:val="0"/>
                <w:sz w:val="24"/>
              </w:rPr>
              <w:t>4403040160000293213</w:t>
            </w:r>
          </w:p>
        </w:tc>
        <w:tc>
          <w:tcPr>
            <w:tcW w:w="1936" w:type="dxa"/>
            <w:noWrap/>
            <w:vAlign w:val="center"/>
          </w:tcPr>
          <w:p>
            <w:pPr>
              <w:widowControl/>
              <w:jc w:val="right"/>
              <w:rPr>
                <w:rFonts w:eastAsiaTheme="minorEastAsia"/>
                <w:color w:val="000000"/>
                <w:kern w:val="0"/>
                <w:sz w:val="24"/>
              </w:rPr>
            </w:pPr>
            <w:r>
              <w:rPr>
                <w:rFonts w:eastAsiaTheme="minorEastAsia"/>
                <w:color w:val="000000"/>
                <w:kern w:val="0"/>
                <w:sz w:val="24"/>
              </w:rPr>
              <w:t>68,770.23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3681" w:type="dxa"/>
            <w:noWrap/>
            <w:vAlign w:val="center"/>
          </w:tcPr>
          <w:p>
            <w:pPr>
              <w:widowControl/>
              <w:jc w:val="left"/>
              <w:rPr>
                <w:rFonts w:eastAsiaTheme="minorEastAsia"/>
                <w:color w:val="000000"/>
                <w:kern w:val="0"/>
                <w:sz w:val="24"/>
              </w:rPr>
            </w:pPr>
            <w:r>
              <w:rPr>
                <w:rFonts w:eastAsiaTheme="minorEastAsia"/>
                <w:color w:val="000000"/>
                <w:kern w:val="0"/>
                <w:sz w:val="24"/>
              </w:rPr>
              <w:t>花旗银行深圳分行</w:t>
            </w:r>
          </w:p>
        </w:tc>
        <w:tc>
          <w:tcPr>
            <w:tcW w:w="2693" w:type="dxa"/>
            <w:noWrap/>
            <w:vAlign w:val="center"/>
          </w:tcPr>
          <w:p>
            <w:pPr>
              <w:widowControl/>
              <w:jc w:val="left"/>
              <w:rPr>
                <w:rFonts w:eastAsiaTheme="minorEastAsia"/>
                <w:color w:val="000000"/>
                <w:kern w:val="0"/>
                <w:sz w:val="24"/>
              </w:rPr>
            </w:pPr>
            <w:r>
              <w:rPr>
                <w:rFonts w:eastAsiaTheme="minorEastAsia"/>
                <w:color w:val="000000"/>
                <w:kern w:val="0"/>
                <w:sz w:val="24"/>
              </w:rPr>
              <w:t>1791138805</w:t>
            </w:r>
          </w:p>
        </w:tc>
        <w:tc>
          <w:tcPr>
            <w:tcW w:w="1936" w:type="dxa"/>
            <w:noWrap/>
            <w:vAlign w:val="center"/>
          </w:tcPr>
          <w:p>
            <w:pPr>
              <w:widowControl/>
              <w:jc w:val="right"/>
              <w:rPr>
                <w:rFonts w:eastAsiaTheme="minorEastAsia"/>
                <w:color w:val="000000"/>
                <w:kern w:val="0"/>
                <w:sz w:val="24"/>
              </w:rPr>
            </w:pPr>
            <w:r>
              <w:rPr>
                <w:rFonts w:eastAsiaTheme="minorEastAsia"/>
                <w:color w:val="000000"/>
                <w:kern w:val="0"/>
                <w:sz w:val="24"/>
              </w:rPr>
              <w:t>172,423.61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3681" w:type="dxa"/>
            <w:noWrap/>
            <w:vAlign w:val="center"/>
          </w:tcPr>
          <w:p>
            <w:pPr>
              <w:widowControl/>
              <w:jc w:val="left"/>
              <w:rPr>
                <w:rFonts w:eastAsiaTheme="minorEastAsia"/>
                <w:color w:val="000000"/>
                <w:kern w:val="0"/>
                <w:sz w:val="24"/>
              </w:rPr>
            </w:pPr>
            <w:r>
              <w:rPr>
                <w:rFonts w:eastAsiaTheme="minorEastAsia"/>
                <w:color w:val="000000"/>
                <w:kern w:val="0"/>
                <w:sz w:val="24"/>
              </w:rPr>
              <w:t>招商银行深圳新安支行</w:t>
            </w:r>
          </w:p>
        </w:tc>
        <w:tc>
          <w:tcPr>
            <w:tcW w:w="2693" w:type="dxa"/>
            <w:noWrap/>
            <w:vAlign w:val="center"/>
          </w:tcPr>
          <w:p>
            <w:pPr>
              <w:widowControl/>
              <w:jc w:val="left"/>
              <w:rPr>
                <w:rFonts w:eastAsiaTheme="minorEastAsia"/>
                <w:color w:val="000000"/>
                <w:kern w:val="0"/>
                <w:sz w:val="24"/>
              </w:rPr>
            </w:pPr>
            <w:r>
              <w:rPr>
                <w:rFonts w:eastAsiaTheme="minorEastAsia"/>
                <w:color w:val="000000"/>
                <w:kern w:val="0"/>
                <w:sz w:val="24"/>
              </w:rPr>
              <w:t>755919797010917</w:t>
            </w:r>
          </w:p>
        </w:tc>
        <w:tc>
          <w:tcPr>
            <w:tcW w:w="1936" w:type="dxa"/>
            <w:noWrap/>
            <w:vAlign w:val="center"/>
          </w:tcPr>
          <w:p>
            <w:pPr>
              <w:widowControl/>
              <w:jc w:val="right"/>
              <w:rPr>
                <w:rFonts w:eastAsiaTheme="minorEastAsia"/>
                <w:color w:val="000000"/>
                <w:kern w:val="0"/>
                <w:sz w:val="24"/>
              </w:rPr>
            </w:pPr>
            <w:r>
              <w:rPr>
                <w:rFonts w:eastAsiaTheme="minorEastAsia"/>
                <w:color w:val="000000"/>
                <w:kern w:val="0"/>
                <w:sz w:val="24"/>
              </w:rPr>
              <w:t>887,451.67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3681" w:type="dxa"/>
            <w:noWrap/>
            <w:vAlign w:val="center"/>
          </w:tcPr>
          <w:p>
            <w:pPr>
              <w:widowControl/>
              <w:jc w:val="left"/>
              <w:rPr>
                <w:rFonts w:eastAsiaTheme="minorEastAsia"/>
                <w:color w:val="000000"/>
                <w:kern w:val="0"/>
                <w:sz w:val="24"/>
              </w:rPr>
            </w:pPr>
            <w:r>
              <w:rPr>
                <w:rFonts w:eastAsiaTheme="minorEastAsia"/>
                <w:color w:val="000000"/>
                <w:kern w:val="0"/>
                <w:sz w:val="24"/>
              </w:rPr>
              <w:t>招商银行深圳新安支行</w:t>
            </w:r>
          </w:p>
        </w:tc>
        <w:tc>
          <w:tcPr>
            <w:tcW w:w="2693" w:type="dxa"/>
            <w:noWrap/>
            <w:vAlign w:val="center"/>
          </w:tcPr>
          <w:p>
            <w:pPr>
              <w:widowControl/>
              <w:jc w:val="left"/>
              <w:rPr>
                <w:rFonts w:eastAsiaTheme="minorEastAsia"/>
                <w:color w:val="000000"/>
                <w:kern w:val="0"/>
                <w:sz w:val="24"/>
              </w:rPr>
            </w:pPr>
            <w:r>
              <w:rPr>
                <w:rFonts w:eastAsiaTheme="minorEastAsia"/>
                <w:color w:val="000000"/>
                <w:kern w:val="0"/>
                <w:sz w:val="24"/>
              </w:rPr>
              <w:t>755948927910826</w:t>
            </w:r>
          </w:p>
        </w:tc>
        <w:tc>
          <w:tcPr>
            <w:tcW w:w="1936" w:type="dxa"/>
            <w:noWrap/>
            <w:vAlign w:val="center"/>
          </w:tcPr>
          <w:p>
            <w:pPr>
              <w:widowControl/>
              <w:jc w:val="right"/>
              <w:rPr>
                <w:rFonts w:eastAsiaTheme="minorEastAsia"/>
                <w:color w:val="000000"/>
                <w:kern w:val="0"/>
                <w:sz w:val="24"/>
              </w:rPr>
            </w:pPr>
            <w:r>
              <w:rPr>
                <w:rFonts w:eastAsiaTheme="minorEastAsia"/>
                <w:color w:val="000000"/>
                <w:kern w:val="0"/>
                <w:sz w:val="24"/>
              </w:rPr>
              <w:t>5,889.94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3681" w:type="dxa"/>
            <w:noWrap/>
            <w:vAlign w:val="center"/>
          </w:tcPr>
          <w:p>
            <w:pPr>
              <w:widowControl/>
              <w:jc w:val="left"/>
              <w:rPr>
                <w:rFonts w:eastAsiaTheme="minorEastAsia"/>
                <w:color w:val="000000"/>
                <w:kern w:val="0"/>
                <w:sz w:val="24"/>
              </w:rPr>
            </w:pPr>
            <w:r>
              <w:rPr>
                <w:rFonts w:eastAsiaTheme="minorEastAsia"/>
                <w:color w:val="000000"/>
                <w:kern w:val="0"/>
                <w:sz w:val="24"/>
              </w:rPr>
              <w:t>招商银行深圳新安支行</w:t>
            </w:r>
          </w:p>
        </w:tc>
        <w:tc>
          <w:tcPr>
            <w:tcW w:w="2693" w:type="dxa"/>
            <w:noWrap/>
            <w:vAlign w:val="center"/>
          </w:tcPr>
          <w:p>
            <w:pPr>
              <w:widowControl/>
              <w:jc w:val="left"/>
              <w:rPr>
                <w:rFonts w:eastAsiaTheme="minorEastAsia"/>
                <w:color w:val="000000"/>
                <w:kern w:val="0"/>
                <w:sz w:val="24"/>
              </w:rPr>
            </w:pPr>
            <w:r>
              <w:rPr>
                <w:rFonts w:eastAsiaTheme="minorEastAsia"/>
                <w:color w:val="000000"/>
                <w:kern w:val="0"/>
                <w:sz w:val="24"/>
              </w:rPr>
              <w:t>129909870610726</w:t>
            </w:r>
          </w:p>
        </w:tc>
        <w:tc>
          <w:tcPr>
            <w:tcW w:w="1936" w:type="dxa"/>
            <w:noWrap/>
            <w:vAlign w:val="center"/>
          </w:tcPr>
          <w:p>
            <w:pPr>
              <w:widowControl/>
              <w:jc w:val="right"/>
              <w:rPr>
                <w:rFonts w:eastAsiaTheme="minorEastAsia"/>
                <w:color w:val="000000"/>
                <w:kern w:val="0"/>
                <w:sz w:val="24"/>
              </w:rPr>
            </w:pPr>
            <w:r>
              <w:rPr>
                <w:rFonts w:eastAsiaTheme="minorEastAsia"/>
                <w:color w:val="000000"/>
                <w:kern w:val="0"/>
                <w:sz w:val="24"/>
              </w:rPr>
              <w:t>5,769.60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3681" w:type="dxa"/>
            <w:noWrap/>
            <w:vAlign w:val="center"/>
          </w:tcPr>
          <w:p>
            <w:pPr>
              <w:widowControl/>
              <w:jc w:val="left"/>
              <w:rPr>
                <w:rFonts w:eastAsiaTheme="minorEastAsia"/>
                <w:color w:val="000000"/>
                <w:kern w:val="0"/>
                <w:sz w:val="24"/>
              </w:rPr>
            </w:pPr>
            <w:r>
              <w:rPr>
                <w:rFonts w:eastAsiaTheme="minorEastAsia"/>
                <w:color w:val="000000"/>
                <w:kern w:val="0"/>
                <w:sz w:val="24"/>
              </w:rPr>
              <w:t>招商银行深圳新安支行</w:t>
            </w:r>
          </w:p>
        </w:tc>
        <w:tc>
          <w:tcPr>
            <w:tcW w:w="2693" w:type="dxa"/>
            <w:noWrap/>
            <w:vAlign w:val="center"/>
          </w:tcPr>
          <w:p>
            <w:pPr>
              <w:widowControl/>
              <w:jc w:val="left"/>
              <w:rPr>
                <w:rFonts w:eastAsiaTheme="minorEastAsia"/>
                <w:color w:val="000000"/>
                <w:kern w:val="0"/>
                <w:sz w:val="24"/>
              </w:rPr>
            </w:pPr>
            <w:r>
              <w:rPr>
                <w:rFonts w:eastAsiaTheme="minorEastAsia"/>
                <w:color w:val="000000"/>
                <w:kern w:val="0"/>
                <w:sz w:val="24"/>
              </w:rPr>
              <w:t>129909870610618</w:t>
            </w:r>
          </w:p>
        </w:tc>
        <w:tc>
          <w:tcPr>
            <w:tcW w:w="1936" w:type="dxa"/>
            <w:noWrap/>
            <w:vAlign w:val="center"/>
          </w:tcPr>
          <w:p>
            <w:pPr>
              <w:widowControl/>
              <w:jc w:val="right"/>
              <w:rPr>
                <w:rFonts w:eastAsiaTheme="minorEastAsia"/>
                <w:color w:val="000000"/>
                <w:kern w:val="0"/>
                <w:sz w:val="24"/>
              </w:rPr>
            </w:pPr>
            <w:r>
              <w:rPr>
                <w:rFonts w:eastAsiaTheme="minorEastAsia"/>
                <w:color w:val="000000"/>
                <w:kern w:val="0"/>
                <w:sz w:val="24"/>
              </w:rPr>
              <w:t>27,129.09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3681" w:type="dxa"/>
            <w:noWrap/>
            <w:vAlign w:val="center"/>
          </w:tcPr>
          <w:p>
            <w:pPr>
              <w:widowControl/>
              <w:jc w:val="left"/>
              <w:rPr>
                <w:rFonts w:eastAsiaTheme="minorEastAsia"/>
                <w:color w:val="000000"/>
                <w:kern w:val="0"/>
                <w:sz w:val="24"/>
              </w:rPr>
            </w:pPr>
            <w:r>
              <w:rPr>
                <w:rFonts w:eastAsiaTheme="minorEastAsia"/>
                <w:color w:val="000000"/>
                <w:kern w:val="0"/>
                <w:sz w:val="24"/>
              </w:rPr>
              <w:t>招商银行深圳新安支行</w:t>
            </w:r>
          </w:p>
        </w:tc>
        <w:tc>
          <w:tcPr>
            <w:tcW w:w="2693" w:type="dxa"/>
            <w:noWrap/>
            <w:vAlign w:val="center"/>
          </w:tcPr>
          <w:p>
            <w:pPr>
              <w:widowControl/>
              <w:jc w:val="left"/>
              <w:rPr>
                <w:rFonts w:eastAsiaTheme="minorEastAsia"/>
                <w:color w:val="000000"/>
                <w:kern w:val="0"/>
                <w:sz w:val="24"/>
              </w:rPr>
            </w:pPr>
            <w:r>
              <w:rPr>
                <w:rFonts w:eastAsiaTheme="minorEastAsia"/>
                <w:color w:val="000000"/>
                <w:kern w:val="0"/>
                <w:sz w:val="24"/>
              </w:rPr>
              <w:t>129909870610558</w:t>
            </w:r>
          </w:p>
        </w:tc>
        <w:tc>
          <w:tcPr>
            <w:tcW w:w="1936" w:type="dxa"/>
            <w:noWrap/>
            <w:vAlign w:val="center"/>
          </w:tcPr>
          <w:p>
            <w:pPr>
              <w:widowControl/>
              <w:jc w:val="right"/>
              <w:rPr>
                <w:rFonts w:eastAsiaTheme="minorEastAsia"/>
                <w:color w:val="000000"/>
                <w:kern w:val="0"/>
                <w:sz w:val="24"/>
              </w:rPr>
            </w:pPr>
            <w:r>
              <w:rPr>
                <w:rFonts w:eastAsiaTheme="minorEastAsia"/>
                <w:color w:val="000000"/>
                <w:kern w:val="0"/>
                <w:sz w:val="24"/>
              </w:rPr>
              <w:t>55,408.05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3681" w:type="dxa"/>
            <w:noWrap/>
            <w:vAlign w:val="center"/>
          </w:tcPr>
          <w:p>
            <w:pPr>
              <w:widowControl/>
              <w:jc w:val="left"/>
              <w:rPr>
                <w:rFonts w:eastAsiaTheme="minorEastAsia"/>
                <w:color w:val="000000"/>
                <w:kern w:val="0"/>
                <w:sz w:val="24"/>
              </w:rPr>
            </w:pPr>
            <w:r>
              <w:rPr>
                <w:rFonts w:eastAsiaTheme="minorEastAsia"/>
                <w:color w:val="000000"/>
                <w:kern w:val="0"/>
                <w:sz w:val="24"/>
              </w:rPr>
              <w:t>中国银行深圳中心区支行</w:t>
            </w:r>
          </w:p>
        </w:tc>
        <w:tc>
          <w:tcPr>
            <w:tcW w:w="2693" w:type="dxa"/>
            <w:noWrap/>
            <w:vAlign w:val="center"/>
          </w:tcPr>
          <w:p>
            <w:pPr>
              <w:widowControl/>
              <w:jc w:val="left"/>
              <w:rPr>
                <w:rFonts w:eastAsiaTheme="minorEastAsia"/>
                <w:color w:val="000000"/>
                <w:kern w:val="0"/>
                <w:sz w:val="24"/>
              </w:rPr>
            </w:pPr>
            <w:r>
              <w:rPr>
                <w:rFonts w:eastAsiaTheme="minorEastAsia"/>
                <w:color w:val="000000"/>
                <w:kern w:val="0"/>
                <w:sz w:val="24"/>
              </w:rPr>
              <w:t>745873208623</w:t>
            </w:r>
          </w:p>
        </w:tc>
        <w:tc>
          <w:tcPr>
            <w:tcW w:w="1936" w:type="dxa"/>
            <w:noWrap/>
            <w:vAlign w:val="center"/>
          </w:tcPr>
          <w:p>
            <w:pPr>
              <w:widowControl/>
              <w:jc w:val="right"/>
              <w:rPr>
                <w:rFonts w:eastAsiaTheme="minorEastAsia"/>
                <w:color w:val="000000"/>
                <w:kern w:val="0"/>
                <w:sz w:val="24"/>
              </w:rPr>
            </w:pPr>
            <w:r>
              <w:rPr>
                <w:rFonts w:eastAsiaTheme="minorEastAsia"/>
                <w:color w:val="000000"/>
                <w:kern w:val="0"/>
                <w:sz w:val="24"/>
              </w:rPr>
              <w:t>7,176,864.17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3681" w:type="dxa"/>
            <w:noWrap/>
            <w:vAlign w:val="center"/>
          </w:tcPr>
          <w:p>
            <w:pPr>
              <w:widowControl/>
              <w:jc w:val="left"/>
              <w:rPr>
                <w:rFonts w:eastAsiaTheme="minorEastAsia"/>
                <w:color w:val="000000"/>
                <w:kern w:val="0"/>
                <w:sz w:val="24"/>
              </w:rPr>
            </w:pPr>
            <w:r>
              <w:rPr>
                <w:rFonts w:eastAsiaTheme="minorEastAsia"/>
                <w:color w:val="000000"/>
                <w:kern w:val="0"/>
                <w:sz w:val="24"/>
              </w:rPr>
              <w:t>民生银行深圳南山支行</w:t>
            </w:r>
          </w:p>
        </w:tc>
        <w:tc>
          <w:tcPr>
            <w:tcW w:w="2693" w:type="dxa"/>
            <w:noWrap/>
            <w:vAlign w:val="center"/>
          </w:tcPr>
          <w:p>
            <w:pPr>
              <w:widowControl/>
              <w:jc w:val="left"/>
              <w:rPr>
                <w:rFonts w:eastAsiaTheme="minorEastAsia"/>
                <w:color w:val="000000"/>
                <w:kern w:val="0"/>
                <w:sz w:val="24"/>
              </w:rPr>
            </w:pPr>
            <w:r>
              <w:rPr>
                <w:rFonts w:eastAsiaTheme="minorEastAsia"/>
                <w:color w:val="000000"/>
                <w:kern w:val="0"/>
                <w:sz w:val="24"/>
              </w:rPr>
              <w:t>631763829</w:t>
            </w:r>
          </w:p>
        </w:tc>
        <w:tc>
          <w:tcPr>
            <w:tcW w:w="1936" w:type="dxa"/>
            <w:noWrap/>
            <w:vAlign w:val="center"/>
          </w:tcPr>
          <w:p>
            <w:pPr>
              <w:widowControl/>
              <w:jc w:val="right"/>
              <w:rPr>
                <w:rFonts w:eastAsiaTheme="minorEastAsia"/>
                <w:color w:val="000000"/>
                <w:kern w:val="0"/>
                <w:sz w:val="24"/>
              </w:rPr>
            </w:pPr>
            <w:r>
              <w:rPr>
                <w:rFonts w:eastAsiaTheme="minorEastAsia"/>
                <w:color w:val="000000"/>
                <w:kern w:val="0"/>
                <w:sz w:val="24"/>
              </w:rPr>
              <w:t>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3681" w:type="dxa"/>
            <w:noWrap/>
            <w:vAlign w:val="center"/>
          </w:tcPr>
          <w:p>
            <w:pPr>
              <w:widowControl/>
              <w:jc w:val="left"/>
              <w:rPr>
                <w:rFonts w:eastAsiaTheme="minorEastAsia"/>
                <w:color w:val="000000"/>
                <w:kern w:val="0"/>
                <w:sz w:val="24"/>
              </w:rPr>
            </w:pPr>
            <w:r>
              <w:rPr>
                <w:rFonts w:eastAsiaTheme="minorEastAsia"/>
                <w:color w:val="000000"/>
                <w:kern w:val="0"/>
                <w:sz w:val="24"/>
              </w:rPr>
              <w:t>兴业银行深圳分行营业部</w:t>
            </w:r>
          </w:p>
        </w:tc>
        <w:tc>
          <w:tcPr>
            <w:tcW w:w="2693" w:type="dxa"/>
            <w:noWrap/>
            <w:vAlign w:val="center"/>
          </w:tcPr>
          <w:p>
            <w:pPr>
              <w:widowControl/>
              <w:jc w:val="left"/>
              <w:rPr>
                <w:rFonts w:eastAsiaTheme="minorEastAsia"/>
                <w:color w:val="000000"/>
                <w:kern w:val="0"/>
                <w:sz w:val="24"/>
              </w:rPr>
            </w:pPr>
            <w:r>
              <w:rPr>
                <w:rFonts w:eastAsiaTheme="minorEastAsia"/>
                <w:color w:val="000000"/>
                <w:kern w:val="0"/>
                <w:sz w:val="24"/>
              </w:rPr>
              <w:t>337010100101734682</w:t>
            </w:r>
          </w:p>
        </w:tc>
        <w:tc>
          <w:tcPr>
            <w:tcW w:w="1936" w:type="dxa"/>
            <w:noWrap/>
            <w:vAlign w:val="center"/>
          </w:tcPr>
          <w:p>
            <w:pPr>
              <w:widowControl/>
              <w:jc w:val="right"/>
              <w:rPr>
                <w:rFonts w:eastAsiaTheme="minorEastAsia"/>
                <w:color w:val="000000"/>
                <w:kern w:val="0"/>
                <w:sz w:val="24"/>
              </w:rPr>
            </w:pPr>
            <w:r>
              <w:rPr>
                <w:rFonts w:eastAsiaTheme="minorEastAsia"/>
                <w:color w:val="000000"/>
                <w:kern w:val="0"/>
                <w:sz w:val="24"/>
              </w:rPr>
              <w:t>213.00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3681" w:type="dxa"/>
            <w:noWrap/>
            <w:vAlign w:val="center"/>
          </w:tcPr>
          <w:p>
            <w:pPr>
              <w:widowControl/>
              <w:jc w:val="left"/>
              <w:rPr>
                <w:rFonts w:eastAsiaTheme="minorEastAsia"/>
                <w:color w:val="000000"/>
                <w:kern w:val="0"/>
                <w:sz w:val="24"/>
              </w:rPr>
            </w:pPr>
            <w:r>
              <w:rPr>
                <w:rFonts w:eastAsiaTheme="minorEastAsia"/>
                <w:color w:val="000000"/>
                <w:kern w:val="0"/>
                <w:sz w:val="24"/>
              </w:rPr>
              <w:t>中国光大银行深圳财富支行</w:t>
            </w:r>
          </w:p>
        </w:tc>
        <w:tc>
          <w:tcPr>
            <w:tcW w:w="2693" w:type="dxa"/>
            <w:noWrap/>
            <w:vAlign w:val="center"/>
          </w:tcPr>
          <w:p>
            <w:pPr>
              <w:widowControl/>
              <w:jc w:val="left"/>
              <w:rPr>
                <w:rFonts w:eastAsiaTheme="minorEastAsia"/>
                <w:color w:val="000000"/>
                <w:kern w:val="0"/>
                <w:sz w:val="24"/>
              </w:rPr>
            </w:pPr>
            <w:r>
              <w:rPr>
                <w:rFonts w:eastAsiaTheme="minorEastAsia"/>
                <w:color w:val="000000"/>
                <w:kern w:val="0"/>
                <w:sz w:val="24"/>
              </w:rPr>
              <w:t>78200188000196343</w:t>
            </w:r>
          </w:p>
        </w:tc>
        <w:tc>
          <w:tcPr>
            <w:tcW w:w="1936" w:type="dxa"/>
            <w:noWrap/>
            <w:vAlign w:val="center"/>
          </w:tcPr>
          <w:p>
            <w:pPr>
              <w:widowControl/>
              <w:jc w:val="right"/>
              <w:rPr>
                <w:rFonts w:eastAsiaTheme="minorEastAsia"/>
                <w:color w:val="000000"/>
                <w:kern w:val="0"/>
                <w:sz w:val="24"/>
              </w:rPr>
            </w:pPr>
            <w:r>
              <w:rPr>
                <w:rFonts w:eastAsiaTheme="minorEastAsia"/>
                <w:color w:val="000000"/>
                <w:kern w:val="0"/>
                <w:sz w:val="24"/>
              </w:rPr>
              <w:t>50.07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3681" w:type="dxa"/>
            <w:noWrap/>
            <w:vAlign w:val="center"/>
          </w:tcPr>
          <w:p>
            <w:pPr>
              <w:widowControl/>
              <w:jc w:val="left"/>
              <w:rPr>
                <w:rFonts w:eastAsiaTheme="minorEastAsia"/>
                <w:color w:val="000000"/>
                <w:kern w:val="0"/>
                <w:sz w:val="24"/>
              </w:rPr>
            </w:pPr>
            <w:r>
              <w:rPr>
                <w:rFonts w:eastAsiaTheme="minorEastAsia"/>
                <w:color w:val="000000"/>
                <w:kern w:val="0"/>
                <w:sz w:val="24"/>
              </w:rPr>
              <w:t>中国银行建设深圳泰然支行</w:t>
            </w:r>
          </w:p>
        </w:tc>
        <w:tc>
          <w:tcPr>
            <w:tcW w:w="2693" w:type="dxa"/>
            <w:noWrap/>
            <w:vAlign w:val="center"/>
          </w:tcPr>
          <w:p>
            <w:pPr>
              <w:widowControl/>
              <w:jc w:val="left"/>
              <w:rPr>
                <w:rFonts w:eastAsiaTheme="minorEastAsia"/>
                <w:color w:val="000000"/>
                <w:kern w:val="0"/>
                <w:sz w:val="24"/>
              </w:rPr>
            </w:pPr>
            <w:r>
              <w:rPr>
                <w:rFonts w:eastAsiaTheme="minorEastAsia"/>
                <w:color w:val="000000"/>
                <w:kern w:val="0"/>
                <w:sz w:val="24"/>
              </w:rPr>
              <w:t>44250100003900002615</w:t>
            </w:r>
          </w:p>
        </w:tc>
        <w:tc>
          <w:tcPr>
            <w:tcW w:w="1936" w:type="dxa"/>
            <w:noWrap/>
            <w:vAlign w:val="center"/>
          </w:tcPr>
          <w:p>
            <w:pPr>
              <w:widowControl/>
              <w:jc w:val="right"/>
              <w:rPr>
                <w:rFonts w:eastAsiaTheme="minorEastAsia"/>
                <w:color w:val="000000"/>
                <w:kern w:val="0"/>
                <w:sz w:val="24"/>
              </w:rPr>
            </w:pPr>
            <w:r>
              <w:rPr>
                <w:rFonts w:eastAsiaTheme="minorEastAsia"/>
                <w:color w:val="000000"/>
                <w:kern w:val="0"/>
                <w:sz w:val="24"/>
              </w:rPr>
              <w:t>7,473.87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3681" w:type="dxa"/>
            <w:noWrap/>
            <w:vAlign w:val="center"/>
          </w:tcPr>
          <w:p>
            <w:pPr>
              <w:widowControl/>
              <w:jc w:val="left"/>
              <w:rPr>
                <w:rFonts w:eastAsiaTheme="minorEastAsia"/>
                <w:color w:val="000000"/>
                <w:kern w:val="0"/>
                <w:sz w:val="24"/>
              </w:rPr>
            </w:pPr>
            <w:r>
              <w:rPr>
                <w:rFonts w:eastAsiaTheme="minorEastAsia"/>
                <w:color w:val="000000"/>
                <w:kern w:val="0"/>
                <w:sz w:val="24"/>
              </w:rPr>
              <w:t>上海浦东发展银行深圳前海分行</w:t>
            </w:r>
          </w:p>
        </w:tc>
        <w:tc>
          <w:tcPr>
            <w:tcW w:w="2693" w:type="dxa"/>
            <w:noWrap/>
            <w:vAlign w:val="center"/>
          </w:tcPr>
          <w:p>
            <w:pPr>
              <w:widowControl/>
              <w:jc w:val="left"/>
              <w:rPr>
                <w:rFonts w:eastAsiaTheme="minorEastAsia"/>
                <w:color w:val="000000"/>
                <w:kern w:val="0"/>
                <w:sz w:val="24"/>
              </w:rPr>
            </w:pPr>
            <w:r>
              <w:rPr>
                <w:rFonts w:eastAsiaTheme="minorEastAsia"/>
                <w:color w:val="000000"/>
                <w:kern w:val="0"/>
                <w:sz w:val="24"/>
              </w:rPr>
              <w:t>79350078801600001505</w:t>
            </w:r>
          </w:p>
        </w:tc>
        <w:tc>
          <w:tcPr>
            <w:tcW w:w="1936" w:type="dxa"/>
            <w:noWrap/>
            <w:vAlign w:val="center"/>
          </w:tcPr>
          <w:p>
            <w:pPr>
              <w:widowControl/>
              <w:jc w:val="right"/>
              <w:rPr>
                <w:rFonts w:eastAsiaTheme="minorEastAsia"/>
                <w:color w:val="000000"/>
                <w:kern w:val="0"/>
                <w:sz w:val="24"/>
              </w:rPr>
            </w:pPr>
            <w:r>
              <w:rPr>
                <w:rFonts w:eastAsiaTheme="minorEastAsia"/>
                <w:color w:val="000000"/>
                <w:kern w:val="0"/>
                <w:sz w:val="24"/>
              </w:rPr>
              <w:t>201,610.66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374" w:type="dxa"/>
            <w:gridSpan w:val="2"/>
            <w:noWrap/>
            <w:vAlign w:val="center"/>
          </w:tcPr>
          <w:p>
            <w:pPr>
              <w:widowControl/>
              <w:jc w:val="center"/>
              <w:rPr>
                <w:rFonts w:eastAsiaTheme="minorEastAsia"/>
                <w:color w:val="000000"/>
                <w:kern w:val="0"/>
                <w:sz w:val="24"/>
              </w:rPr>
            </w:pPr>
            <w:r>
              <w:rPr>
                <w:rFonts w:eastAsiaTheme="minorEastAsia"/>
                <w:b/>
                <w:bCs/>
                <w:sz w:val="24"/>
              </w:rPr>
              <w:t>合计</w:t>
            </w:r>
          </w:p>
        </w:tc>
        <w:tc>
          <w:tcPr>
            <w:tcW w:w="1936" w:type="dxa"/>
            <w:noWrap/>
            <w:vAlign w:val="center"/>
          </w:tcPr>
          <w:p>
            <w:pPr>
              <w:widowControl/>
              <w:jc w:val="right"/>
              <w:rPr>
                <w:rFonts w:eastAsiaTheme="minorEastAsia"/>
                <w:color w:val="000000"/>
                <w:kern w:val="0"/>
                <w:sz w:val="24"/>
              </w:rPr>
            </w:pPr>
            <w:r>
              <w:rPr>
                <w:rFonts w:eastAsiaTheme="minorEastAsia"/>
                <w:b/>
                <w:bCs/>
                <w:sz w:val="24"/>
              </w:rPr>
              <w:t>8,914,089.51</w:t>
            </w:r>
          </w:p>
        </w:tc>
      </w:tr>
    </w:tbl>
    <w:p>
      <w:pPr>
        <w:adjustRightInd w:val="0"/>
        <w:snapToGrid w:val="0"/>
        <w:spacing w:line="360" w:lineRule="auto"/>
        <w:ind w:firstLine="562" w:firstLineChars="200"/>
        <w:rPr>
          <w:rFonts w:ascii="宋体" w:hAnsi="宋体" w:cs="Arial Unicode MS"/>
          <w:b/>
          <w:sz w:val="28"/>
          <w:szCs w:val="28"/>
        </w:rPr>
      </w:pPr>
      <w:r>
        <w:rPr>
          <w:rFonts w:hint="eastAsia" w:ascii="宋体" w:hAnsi="宋体" w:cs="Arial Unicode MS"/>
          <w:b/>
          <w:sz w:val="28"/>
          <w:szCs w:val="28"/>
        </w:rPr>
        <w:t>三、本年度募集资金的实际使用情况</w:t>
      </w:r>
    </w:p>
    <w:p>
      <w:pPr>
        <w:adjustRightInd w:val="0"/>
        <w:snapToGrid w:val="0"/>
        <w:spacing w:line="360" w:lineRule="auto"/>
        <w:ind w:firstLine="560" w:firstLineChars="200"/>
        <w:rPr>
          <w:rFonts w:ascii="宋体" w:hAnsi="宋体" w:cs="Arial Unicode MS"/>
          <w:sz w:val="28"/>
          <w:szCs w:val="28"/>
        </w:rPr>
      </w:pPr>
      <w:r>
        <w:rPr>
          <w:rFonts w:hint="eastAsia" w:ascii="宋体" w:hAnsi="宋体" w:cs="Arial Unicode MS"/>
          <w:sz w:val="28"/>
          <w:szCs w:val="28"/>
        </w:rPr>
        <w:t>（一）募集资金投资项目（以下简称“募投项目”）的资金使用情况。</w:t>
      </w:r>
    </w:p>
    <w:p>
      <w:pPr>
        <w:adjustRightInd w:val="0"/>
        <w:snapToGrid w:val="0"/>
        <w:spacing w:line="360" w:lineRule="auto"/>
        <w:ind w:firstLine="560" w:firstLineChars="200"/>
        <w:rPr>
          <w:rFonts w:ascii="宋体" w:hAnsi="宋体" w:cs="Arial Unicode MS"/>
          <w:sz w:val="28"/>
          <w:szCs w:val="28"/>
        </w:rPr>
      </w:pPr>
      <w:r>
        <w:rPr>
          <w:rFonts w:hint="eastAsia" w:ascii="宋体" w:hAnsi="宋体" w:cs="Arial Unicode MS"/>
          <w:sz w:val="28"/>
          <w:szCs w:val="28"/>
        </w:rPr>
        <w:t>公司按照《上海证券交易所上市公司募集资金管理办法》使用募集资金。公司报告期募投项目的资金使用情况，详见“募集资金使用情况对照表” (见附表)。</w:t>
      </w:r>
    </w:p>
    <w:p>
      <w:pPr>
        <w:adjustRightInd w:val="0"/>
        <w:snapToGrid w:val="0"/>
        <w:spacing w:line="360" w:lineRule="auto"/>
        <w:ind w:firstLine="560" w:firstLineChars="200"/>
        <w:rPr>
          <w:rFonts w:ascii="宋体" w:hAnsi="宋体" w:cs="Arial Unicode MS"/>
          <w:sz w:val="28"/>
          <w:szCs w:val="28"/>
        </w:rPr>
      </w:pPr>
      <w:r>
        <w:rPr>
          <w:rFonts w:hint="eastAsia" w:ascii="宋体" w:hAnsi="宋体" w:cs="Arial Unicode MS"/>
          <w:sz w:val="28"/>
          <w:szCs w:val="28"/>
        </w:rPr>
        <w:t>（二）募投项目先期投入及置换情况。</w:t>
      </w:r>
    </w:p>
    <w:p>
      <w:pPr>
        <w:adjustRightInd w:val="0"/>
        <w:snapToGrid w:val="0"/>
        <w:spacing w:line="360" w:lineRule="auto"/>
        <w:ind w:firstLine="560" w:firstLineChars="200"/>
        <w:rPr>
          <w:rFonts w:ascii="宋体" w:hAnsi="宋体" w:cs="Arial Unicode MS"/>
          <w:sz w:val="28"/>
          <w:szCs w:val="28"/>
        </w:rPr>
      </w:pPr>
      <w:r>
        <w:rPr>
          <w:rFonts w:hint="eastAsia" w:ascii="宋体" w:hAnsi="宋体" w:cs="Arial Unicode MS"/>
          <w:sz w:val="28"/>
          <w:szCs w:val="28"/>
        </w:rPr>
        <w:t>公司于2020年6月23日召开第二届董事会第十七次会议和第二届监事会第十二次会议，审议通过了《关于使用募集资金置换预先投入募投项目及已支付发行费用的自筹资金的议案》，同意公司使用募集资金2,538.02万元置换预先投入募集资金投资项目的自筹资金、使用募集资金305.19万元置换以自筹资金预先支付的发行费用扣除以募集资金支付的发行费用增值税后净额，详见公告（公告编号：</w:t>
      </w:r>
      <w:r>
        <w:rPr>
          <w:rFonts w:ascii="宋体" w:hAnsi="宋体" w:cs="Arial Unicode MS"/>
          <w:sz w:val="28"/>
          <w:szCs w:val="28"/>
        </w:rPr>
        <w:t>2020-023</w:t>
      </w:r>
      <w:r>
        <w:rPr>
          <w:rFonts w:hint="eastAsia" w:ascii="宋体" w:hAnsi="宋体" w:cs="Arial Unicode MS"/>
          <w:sz w:val="28"/>
          <w:szCs w:val="28"/>
        </w:rPr>
        <w:t>）。</w:t>
      </w:r>
    </w:p>
    <w:p>
      <w:pPr>
        <w:adjustRightInd w:val="0"/>
        <w:snapToGrid w:val="0"/>
        <w:spacing w:line="360" w:lineRule="auto"/>
        <w:ind w:firstLine="560" w:firstLineChars="200"/>
        <w:rPr>
          <w:rFonts w:ascii="宋体" w:hAnsi="宋体" w:cs="Arial Unicode MS"/>
          <w:sz w:val="28"/>
          <w:szCs w:val="28"/>
        </w:rPr>
      </w:pPr>
      <w:r>
        <w:rPr>
          <w:rFonts w:hint="eastAsia" w:ascii="宋体" w:hAnsi="宋体" w:cs="Arial Unicode MS"/>
          <w:sz w:val="28"/>
          <w:szCs w:val="28"/>
        </w:rPr>
        <w:t>（三）用闲置募集资金暂时补充流动资金情况。</w:t>
      </w:r>
    </w:p>
    <w:p>
      <w:pPr>
        <w:adjustRightInd w:val="0"/>
        <w:snapToGrid w:val="0"/>
        <w:spacing w:line="360" w:lineRule="auto"/>
        <w:ind w:firstLine="560" w:firstLineChars="200"/>
        <w:rPr>
          <w:sz w:val="28"/>
          <w:szCs w:val="28"/>
        </w:rPr>
      </w:pPr>
      <w:r>
        <w:rPr>
          <w:rFonts w:hint="eastAsia" w:ascii="宋体" w:hAnsi="宋体" w:cs="Arial Unicode MS"/>
          <w:sz w:val="28"/>
          <w:szCs w:val="28"/>
        </w:rPr>
        <w:t>公司于2020年6月23日召开第二届董事会第十七次会议、第二届监事会第十二次会议，审议通过了《关于使用闲置募集资金暂时补充流动资金的议案》。根据募集资金投资项目的资金使用计划及项目的建设进度，公司及全资子公司在确保不影响募集资金投资项目建设进度的前提下，为了提高募集资金使用效率、降低公司财务成本、解决公司运营发展的资金需求，董事会同意公司使用部分闲置募集资金6000万元暂时补充流动资金，单次补充流动资金时间不得超过12个月，</w:t>
      </w:r>
      <w:r>
        <w:rPr>
          <w:sz w:val="28"/>
          <w:szCs w:val="28"/>
        </w:rPr>
        <w:t>内容详见公司刊登在上海证券交易所网站（www.sse.com.cn）的公告（公告编号：2020-024）。</w:t>
      </w:r>
    </w:p>
    <w:p>
      <w:pPr>
        <w:adjustRightInd w:val="0"/>
        <w:snapToGrid w:val="0"/>
        <w:spacing w:line="360" w:lineRule="auto"/>
        <w:ind w:firstLine="560" w:firstLineChars="200"/>
        <w:rPr>
          <w:rFonts w:ascii="宋体" w:hAnsi="宋体" w:cs="Arial Unicode MS"/>
          <w:sz w:val="28"/>
          <w:szCs w:val="28"/>
        </w:rPr>
      </w:pPr>
      <w:r>
        <w:rPr>
          <w:rFonts w:hint="eastAsia" w:ascii="宋体" w:hAnsi="宋体" w:cs="Arial Unicode MS"/>
          <w:sz w:val="28"/>
          <w:szCs w:val="28"/>
        </w:rPr>
        <w:t>（四）对闲置募集资金进行现金管理，投资相关产品情况。</w:t>
      </w:r>
    </w:p>
    <w:p>
      <w:pPr>
        <w:adjustRightInd w:val="0"/>
        <w:snapToGrid w:val="0"/>
        <w:spacing w:line="360" w:lineRule="auto"/>
        <w:ind w:firstLine="560" w:firstLineChars="200"/>
        <w:rPr>
          <w:rFonts w:ascii="宋体" w:hAnsi="宋体" w:cs="Arial Unicode MS"/>
          <w:sz w:val="28"/>
          <w:szCs w:val="28"/>
        </w:rPr>
      </w:pPr>
      <w:r>
        <w:rPr>
          <w:rFonts w:hint="eastAsia" w:ascii="宋体" w:hAnsi="宋体" w:cs="Arial Unicode MS"/>
          <w:sz w:val="28"/>
          <w:szCs w:val="28"/>
        </w:rPr>
        <w:t>截至</w:t>
      </w:r>
      <w:r>
        <w:rPr>
          <w:rFonts w:ascii="宋体" w:hAnsi="宋体" w:cs="Arial Unicode MS"/>
          <w:sz w:val="28"/>
          <w:szCs w:val="28"/>
        </w:rPr>
        <w:t>2020</w:t>
      </w:r>
      <w:r>
        <w:rPr>
          <w:rFonts w:hint="eastAsia" w:ascii="宋体" w:hAnsi="宋体" w:cs="Arial Unicode MS"/>
          <w:sz w:val="28"/>
          <w:szCs w:val="28"/>
        </w:rPr>
        <w:t>年</w:t>
      </w:r>
      <w:r>
        <w:rPr>
          <w:rFonts w:ascii="宋体" w:hAnsi="宋体" w:cs="Arial Unicode MS"/>
          <w:sz w:val="28"/>
          <w:szCs w:val="28"/>
        </w:rPr>
        <w:t>12</w:t>
      </w:r>
      <w:r>
        <w:rPr>
          <w:rFonts w:hint="eastAsia" w:ascii="宋体" w:hAnsi="宋体" w:cs="Arial Unicode MS"/>
          <w:sz w:val="28"/>
          <w:szCs w:val="28"/>
        </w:rPr>
        <w:t>月</w:t>
      </w:r>
      <w:r>
        <w:rPr>
          <w:rFonts w:ascii="宋体" w:hAnsi="宋体" w:cs="Arial Unicode MS"/>
          <w:sz w:val="28"/>
          <w:szCs w:val="28"/>
        </w:rPr>
        <w:t>31</w:t>
      </w:r>
      <w:r>
        <w:rPr>
          <w:rFonts w:hint="eastAsia" w:ascii="宋体" w:hAnsi="宋体" w:cs="Arial Unicode MS"/>
          <w:sz w:val="28"/>
          <w:szCs w:val="28"/>
        </w:rPr>
        <w:t>日，募集资金已购买未到期定期存款及结构性存款情况如下：</w:t>
      </w:r>
    </w:p>
    <w:tbl>
      <w:tblPr>
        <w:tblStyle w:val="10"/>
        <w:tblpPr w:leftFromText="180" w:rightFromText="180" w:vertAnchor="text" w:horzAnchor="page" w:tblpX="1885" w:tblpY="73"/>
        <w:tblOverlap w:val="never"/>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1"/>
        <w:gridCol w:w="955"/>
        <w:gridCol w:w="1090"/>
        <w:gridCol w:w="1496"/>
        <w:gridCol w:w="1225"/>
        <w:gridCol w:w="1225"/>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271" w:type="dxa"/>
            <w:noWrap/>
            <w:vAlign w:val="center"/>
          </w:tcPr>
          <w:p>
            <w:pPr>
              <w:jc w:val="center"/>
              <w:rPr>
                <w:b/>
                <w:bCs/>
                <w:szCs w:val="21"/>
              </w:rPr>
            </w:pPr>
            <w:r>
              <w:rPr>
                <w:b/>
                <w:bCs/>
                <w:szCs w:val="21"/>
              </w:rPr>
              <w:t>受托方</w:t>
            </w:r>
          </w:p>
        </w:tc>
        <w:tc>
          <w:tcPr>
            <w:tcW w:w="992" w:type="dxa"/>
            <w:noWrap/>
            <w:vAlign w:val="center"/>
          </w:tcPr>
          <w:p>
            <w:pPr>
              <w:jc w:val="center"/>
              <w:rPr>
                <w:b/>
                <w:bCs/>
                <w:szCs w:val="21"/>
              </w:rPr>
            </w:pPr>
            <w:r>
              <w:rPr>
                <w:b/>
                <w:bCs/>
                <w:szCs w:val="21"/>
              </w:rPr>
              <w:t>理财产品</w:t>
            </w:r>
          </w:p>
        </w:tc>
        <w:tc>
          <w:tcPr>
            <w:tcW w:w="1134" w:type="dxa"/>
            <w:noWrap/>
            <w:vAlign w:val="center"/>
          </w:tcPr>
          <w:p>
            <w:pPr>
              <w:jc w:val="center"/>
              <w:rPr>
                <w:b/>
                <w:bCs/>
                <w:szCs w:val="21"/>
              </w:rPr>
            </w:pPr>
            <w:r>
              <w:rPr>
                <w:b/>
                <w:bCs/>
                <w:szCs w:val="21"/>
              </w:rPr>
              <w:t>收益类型</w:t>
            </w:r>
          </w:p>
        </w:tc>
        <w:tc>
          <w:tcPr>
            <w:tcW w:w="1560" w:type="dxa"/>
            <w:vAlign w:val="center"/>
          </w:tcPr>
          <w:p>
            <w:pPr>
              <w:jc w:val="center"/>
              <w:rPr>
                <w:b/>
                <w:bCs/>
                <w:szCs w:val="21"/>
              </w:rPr>
            </w:pPr>
            <w:r>
              <w:rPr>
                <w:b/>
                <w:bCs/>
                <w:szCs w:val="21"/>
              </w:rPr>
              <w:t>金额</w:t>
            </w:r>
          </w:p>
          <w:p>
            <w:pPr>
              <w:jc w:val="center"/>
              <w:rPr>
                <w:b/>
                <w:bCs/>
                <w:szCs w:val="21"/>
              </w:rPr>
            </w:pPr>
            <w:r>
              <w:rPr>
                <w:b/>
                <w:bCs/>
                <w:szCs w:val="21"/>
              </w:rPr>
              <w:t>（人民币元）</w:t>
            </w:r>
          </w:p>
        </w:tc>
        <w:tc>
          <w:tcPr>
            <w:tcW w:w="1275" w:type="dxa"/>
            <w:noWrap/>
            <w:vAlign w:val="center"/>
          </w:tcPr>
          <w:p>
            <w:pPr>
              <w:jc w:val="center"/>
              <w:rPr>
                <w:b/>
                <w:bCs/>
                <w:szCs w:val="21"/>
              </w:rPr>
            </w:pPr>
            <w:r>
              <w:rPr>
                <w:b/>
                <w:bCs/>
                <w:szCs w:val="21"/>
              </w:rPr>
              <w:t>认购日</w:t>
            </w:r>
          </w:p>
        </w:tc>
        <w:tc>
          <w:tcPr>
            <w:tcW w:w="1276" w:type="dxa"/>
            <w:noWrap/>
            <w:vAlign w:val="center"/>
          </w:tcPr>
          <w:p>
            <w:pPr>
              <w:jc w:val="center"/>
              <w:rPr>
                <w:b/>
                <w:bCs/>
                <w:szCs w:val="21"/>
              </w:rPr>
            </w:pPr>
            <w:r>
              <w:rPr>
                <w:b/>
                <w:bCs/>
                <w:szCs w:val="21"/>
              </w:rPr>
              <w:t>预计到期日</w:t>
            </w:r>
          </w:p>
        </w:tc>
        <w:tc>
          <w:tcPr>
            <w:tcW w:w="851" w:type="dxa"/>
            <w:noWrap/>
            <w:vAlign w:val="center"/>
          </w:tcPr>
          <w:p>
            <w:pPr>
              <w:jc w:val="center"/>
              <w:rPr>
                <w:b/>
                <w:bCs/>
                <w:szCs w:val="21"/>
              </w:rPr>
            </w:pPr>
            <w:r>
              <w:rPr>
                <w:b/>
                <w:bCs/>
                <w:szCs w:val="21"/>
              </w:rPr>
              <w:t>预计收益率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271" w:type="dxa"/>
            <w:noWrap/>
            <w:vAlign w:val="center"/>
          </w:tcPr>
          <w:p>
            <w:pPr>
              <w:jc w:val="center"/>
              <w:rPr>
                <w:szCs w:val="21"/>
              </w:rPr>
            </w:pPr>
            <w:r>
              <w:rPr>
                <w:szCs w:val="21"/>
              </w:rPr>
              <w:t>东莞银行松山湖科技支行</w:t>
            </w:r>
          </w:p>
        </w:tc>
        <w:tc>
          <w:tcPr>
            <w:tcW w:w="992" w:type="dxa"/>
            <w:noWrap/>
            <w:vAlign w:val="center"/>
          </w:tcPr>
          <w:p>
            <w:pPr>
              <w:jc w:val="center"/>
              <w:rPr>
                <w:szCs w:val="21"/>
              </w:rPr>
            </w:pPr>
            <w:r>
              <w:rPr>
                <w:szCs w:val="21"/>
              </w:rPr>
              <w:t>结构性存款</w:t>
            </w:r>
          </w:p>
        </w:tc>
        <w:tc>
          <w:tcPr>
            <w:tcW w:w="1134" w:type="dxa"/>
            <w:noWrap/>
            <w:vAlign w:val="center"/>
          </w:tcPr>
          <w:p>
            <w:pPr>
              <w:jc w:val="center"/>
              <w:rPr>
                <w:szCs w:val="21"/>
              </w:rPr>
            </w:pPr>
            <w:r>
              <w:rPr>
                <w:szCs w:val="21"/>
              </w:rPr>
              <w:t>保本浮动收益型</w:t>
            </w:r>
          </w:p>
        </w:tc>
        <w:tc>
          <w:tcPr>
            <w:tcW w:w="1560" w:type="dxa"/>
            <w:noWrap/>
            <w:vAlign w:val="center"/>
          </w:tcPr>
          <w:p>
            <w:pPr>
              <w:jc w:val="center"/>
              <w:rPr>
                <w:szCs w:val="21"/>
              </w:rPr>
            </w:pPr>
            <w:r>
              <w:rPr>
                <w:szCs w:val="21"/>
              </w:rPr>
              <w:t>15,000,000.00</w:t>
            </w:r>
          </w:p>
        </w:tc>
        <w:tc>
          <w:tcPr>
            <w:tcW w:w="1275" w:type="dxa"/>
            <w:noWrap/>
            <w:vAlign w:val="center"/>
          </w:tcPr>
          <w:p>
            <w:pPr>
              <w:jc w:val="center"/>
              <w:rPr>
                <w:szCs w:val="21"/>
              </w:rPr>
            </w:pPr>
            <w:r>
              <w:rPr>
                <w:szCs w:val="21"/>
              </w:rPr>
              <w:t>2020-11-30</w:t>
            </w:r>
          </w:p>
        </w:tc>
        <w:tc>
          <w:tcPr>
            <w:tcW w:w="1276" w:type="dxa"/>
            <w:noWrap/>
            <w:vAlign w:val="center"/>
          </w:tcPr>
          <w:p>
            <w:pPr>
              <w:jc w:val="center"/>
              <w:rPr>
                <w:szCs w:val="21"/>
              </w:rPr>
            </w:pPr>
            <w:r>
              <w:rPr>
                <w:szCs w:val="21"/>
              </w:rPr>
              <w:t>2021-3-1</w:t>
            </w:r>
          </w:p>
        </w:tc>
        <w:tc>
          <w:tcPr>
            <w:tcW w:w="851" w:type="dxa"/>
            <w:noWrap/>
            <w:vAlign w:val="center"/>
          </w:tcPr>
          <w:p>
            <w:pPr>
              <w:jc w:val="center"/>
              <w:rPr>
                <w:szCs w:val="21"/>
              </w:rPr>
            </w:pPr>
            <w:r>
              <w:rPr>
                <w:szCs w:val="21"/>
              </w:rPr>
              <w:t>1.65%-3.50%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271" w:type="dxa"/>
            <w:noWrap/>
            <w:vAlign w:val="center"/>
          </w:tcPr>
          <w:p>
            <w:pPr>
              <w:jc w:val="center"/>
              <w:rPr>
                <w:szCs w:val="21"/>
              </w:rPr>
            </w:pPr>
            <w:r>
              <w:rPr>
                <w:szCs w:val="21"/>
              </w:rPr>
              <w:t>中国银行深圳中心区支行</w:t>
            </w:r>
          </w:p>
        </w:tc>
        <w:tc>
          <w:tcPr>
            <w:tcW w:w="992" w:type="dxa"/>
            <w:noWrap/>
            <w:vAlign w:val="center"/>
          </w:tcPr>
          <w:p>
            <w:pPr>
              <w:jc w:val="center"/>
              <w:rPr>
                <w:szCs w:val="21"/>
              </w:rPr>
            </w:pPr>
            <w:r>
              <w:rPr>
                <w:szCs w:val="21"/>
              </w:rPr>
              <w:t>结构性存款</w:t>
            </w:r>
          </w:p>
        </w:tc>
        <w:tc>
          <w:tcPr>
            <w:tcW w:w="1134" w:type="dxa"/>
            <w:noWrap/>
            <w:vAlign w:val="center"/>
          </w:tcPr>
          <w:p>
            <w:pPr>
              <w:jc w:val="center"/>
              <w:rPr>
                <w:szCs w:val="21"/>
              </w:rPr>
            </w:pPr>
            <w:r>
              <w:rPr>
                <w:szCs w:val="21"/>
              </w:rPr>
              <w:t>保本浮动收益型</w:t>
            </w:r>
          </w:p>
        </w:tc>
        <w:tc>
          <w:tcPr>
            <w:tcW w:w="1560" w:type="dxa"/>
            <w:noWrap/>
            <w:vAlign w:val="center"/>
          </w:tcPr>
          <w:p>
            <w:pPr>
              <w:jc w:val="center"/>
              <w:rPr>
                <w:szCs w:val="21"/>
              </w:rPr>
            </w:pPr>
            <w:r>
              <w:rPr>
                <w:szCs w:val="21"/>
              </w:rPr>
              <w:t>10,000,000.00</w:t>
            </w:r>
          </w:p>
        </w:tc>
        <w:tc>
          <w:tcPr>
            <w:tcW w:w="1275" w:type="dxa"/>
            <w:noWrap/>
            <w:vAlign w:val="center"/>
          </w:tcPr>
          <w:p>
            <w:pPr>
              <w:jc w:val="center"/>
              <w:rPr>
                <w:szCs w:val="21"/>
              </w:rPr>
            </w:pPr>
            <w:r>
              <w:rPr>
                <w:szCs w:val="21"/>
              </w:rPr>
              <w:t>2020-11-5</w:t>
            </w:r>
          </w:p>
        </w:tc>
        <w:tc>
          <w:tcPr>
            <w:tcW w:w="1276" w:type="dxa"/>
            <w:noWrap/>
            <w:vAlign w:val="center"/>
          </w:tcPr>
          <w:p>
            <w:pPr>
              <w:jc w:val="center"/>
              <w:rPr>
                <w:szCs w:val="21"/>
              </w:rPr>
            </w:pPr>
            <w:r>
              <w:rPr>
                <w:szCs w:val="21"/>
              </w:rPr>
              <w:t>2021-2-5</w:t>
            </w:r>
          </w:p>
        </w:tc>
        <w:tc>
          <w:tcPr>
            <w:tcW w:w="851" w:type="dxa"/>
            <w:noWrap/>
            <w:vAlign w:val="center"/>
          </w:tcPr>
          <w:p>
            <w:pPr>
              <w:jc w:val="center"/>
              <w:rPr>
                <w:szCs w:val="21"/>
              </w:rPr>
            </w:pPr>
            <w:r>
              <w:rPr>
                <w:szCs w:val="21"/>
              </w:rPr>
              <w:t>1.50%-3.50%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271" w:type="dxa"/>
            <w:noWrap/>
            <w:vAlign w:val="center"/>
          </w:tcPr>
          <w:p>
            <w:pPr>
              <w:jc w:val="center"/>
              <w:rPr>
                <w:szCs w:val="21"/>
              </w:rPr>
            </w:pPr>
            <w:r>
              <w:rPr>
                <w:szCs w:val="21"/>
              </w:rPr>
              <w:t>中国银行深圳中心区支行</w:t>
            </w:r>
          </w:p>
        </w:tc>
        <w:tc>
          <w:tcPr>
            <w:tcW w:w="992" w:type="dxa"/>
            <w:noWrap/>
            <w:vAlign w:val="center"/>
          </w:tcPr>
          <w:p>
            <w:pPr>
              <w:jc w:val="center"/>
              <w:rPr>
                <w:szCs w:val="21"/>
              </w:rPr>
            </w:pPr>
            <w:r>
              <w:rPr>
                <w:szCs w:val="21"/>
              </w:rPr>
              <w:t>结构性存款</w:t>
            </w:r>
          </w:p>
        </w:tc>
        <w:tc>
          <w:tcPr>
            <w:tcW w:w="1134" w:type="dxa"/>
            <w:noWrap/>
            <w:vAlign w:val="center"/>
          </w:tcPr>
          <w:p>
            <w:pPr>
              <w:jc w:val="center"/>
              <w:rPr>
                <w:szCs w:val="21"/>
              </w:rPr>
            </w:pPr>
            <w:r>
              <w:rPr>
                <w:szCs w:val="21"/>
              </w:rPr>
              <w:t>保本浮动收益型</w:t>
            </w:r>
          </w:p>
        </w:tc>
        <w:tc>
          <w:tcPr>
            <w:tcW w:w="1560" w:type="dxa"/>
            <w:noWrap/>
            <w:vAlign w:val="center"/>
          </w:tcPr>
          <w:p>
            <w:pPr>
              <w:jc w:val="center"/>
              <w:rPr>
                <w:szCs w:val="21"/>
              </w:rPr>
            </w:pPr>
            <w:r>
              <w:rPr>
                <w:szCs w:val="21"/>
              </w:rPr>
              <w:t>30,000,000.00</w:t>
            </w:r>
          </w:p>
        </w:tc>
        <w:tc>
          <w:tcPr>
            <w:tcW w:w="1275" w:type="dxa"/>
            <w:noWrap/>
            <w:vAlign w:val="center"/>
          </w:tcPr>
          <w:p>
            <w:pPr>
              <w:jc w:val="center"/>
              <w:rPr>
                <w:szCs w:val="21"/>
              </w:rPr>
            </w:pPr>
            <w:r>
              <w:rPr>
                <w:szCs w:val="21"/>
              </w:rPr>
              <w:t>2020-11-5</w:t>
            </w:r>
          </w:p>
        </w:tc>
        <w:tc>
          <w:tcPr>
            <w:tcW w:w="1276" w:type="dxa"/>
            <w:noWrap/>
            <w:vAlign w:val="center"/>
          </w:tcPr>
          <w:p>
            <w:pPr>
              <w:jc w:val="center"/>
              <w:rPr>
                <w:szCs w:val="21"/>
              </w:rPr>
            </w:pPr>
            <w:r>
              <w:rPr>
                <w:szCs w:val="21"/>
              </w:rPr>
              <w:t>2021-2-5</w:t>
            </w:r>
          </w:p>
        </w:tc>
        <w:tc>
          <w:tcPr>
            <w:tcW w:w="851" w:type="dxa"/>
            <w:noWrap/>
            <w:vAlign w:val="center"/>
          </w:tcPr>
          <w:p>
            <w:pPr>
              <w:jc w:val="center"/>
              <w:rPr>
                <w:szCs w:val="21"/>
              </w:rPr>
            </w:pPr>
            <w:r>
              <w:rPr>
                <w:szCs w:val="21"/>
              </w:rPr>
              <w:t>1.50%-3.50%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271" w:type="dxa"/>
            <w:noWrap/>
            <w:vAlign w:val="center"/>
          </w:tcPr>
          <w:p>
            <w:pPr>
              <w:jc w:val="center"/>
              <w:rPr>
                <w:szCs w:val="21"/>
              </w:rPr>
            </w:pPr>
            <w:r>
              <w:rPr>
                <w:rFonts w:hint="eastAsia" w:ascii="宋体" w:hAnsi="宋体"/>
                <w:color w:val="000000"/>
                <w:kern w:val="0"/>
                <w:szCs w:val="21"/>
              </w:rPr>
              <w:t>东莞银行松山湖科技支行</w:t>
            </w:r>
          </w:p>
        </w:tc>
        <w:tc>
          <w:tcPr>
            <w:tcW w:w="992" w:type="dxa"/>
            <w:noWrap/>
            <w:vAlign w:val="center"/>
          </w:tcPr>
          <w:p>
            <w:pPr>
              <w:jc w:val="center"/>
              <w:rPr>
                <w:szCs w:val="21"/>
              </w:rPr>
            </w:pPr>
            <w:r>
              <w:rPr>
                <w:szCs w:val="21"/>
              </w:rPr>
              <w:t>结构性存款</w:t>
            </w:r>
          </w:p>
        </w:tc>
        <w:tc>
          <w:tcPr>
            <w:tcW w:w="1134" w:type="dxa"/>
            <w:noWrap/>
            <w:vAlign w:val="center"/>
          </w:tcPr>
          <w:p>
            <w:pPr>
              <w:jc w:val="center"/>
              <w:rPr>
                <w:szCs w:val="21"/>
              </w:rPr>
            </w:pPr>
            <w:r>
              <w:rPr>
                <w:szCs w:val="21"/>
              </w:rPr>
              <w:t>保本浮动收益型</w:t>
            </w:r>
          </w:p>
        </w:tc>
        <w:tc>
          <w:tcPr>
            <w:tcW w:w="1560" w:type="dxa"/>
            <w:noWrap/>
            <w:vAlign w:val="center"/>
          </w:tcPr>
          <w:p>
            <w:pPr>
              <w:jc w:val="center"/>
              <w:rPr>
                <w:szCs w:val="21"/>
              </w:rPr>
            </w:pPr>
            <w:r>
              <w:rPr>
                <w:szCs w:val="21"/>
              </w:rPr>
              <w:t>18,000,000.00</w:t>
            </w:r>
          </w:p>
        </w:tc>
        <w:tc>
          <w:tcPr>
            <w:tcW w:w="1275" w:type="dxa"/>
            <w:noWrap/>
            <w:vAlign w:val="center"/>
          </w:tcPr>
          <w:p>
            <w:pPr>
              <w:jc w:val="center"/>
              <w:rPr>
                <w:szCs w:val="21"/>
              </w:rPr>
            </w:pPr>
            <w:r>
              <w:rPr>
                <w:szCs w:val="21"/>
              </w:rPr>
              <w:t>2020-11-4</w:t>
            </w:r>
          </w:p>
        </w:tc>
        <w:tc>
          <w:tcPr>
            <w:tcW w:w="1276" w:type="dxa"/>
            <w:noWrap/>
            <w:vAlign w:val="center"/>
          </w:tcPr>
          <w:p>
            <w:pPr>
              <w:jc w:val="center"/>
              <w:rPr>
                <w:szCs w:val="21"/>
              </w:rPr>
            </w:pPr>
            <w:r>
              <w:rPr>
                <w:szCs w:val="21"/>
              </w:rPr>
              <w:t>2021-1-4</w:t>
            </w:r>
          </w:p>
        </w:tc>
        <w:tc>
          <w:tcPr>
            <w:tcW w:w="851" w:type="dxa"/>
            <w:noWrap/>
            <w:vAlign w:val="center"/>
          </w:tcPr>
          <w:p>
            <w:pPr>
              <w:jc w:val="center"/>
              <w:rPr>
                <w:szCs w:val="21"/>
              </w:rPr>
            </w:pPr>
            <w:r>
              <w:rPr>
                <w:szCs w:val="21"/>
              </w:rPr>
              <w:t>1.65%-3.45%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271" w:type="dxa"/>
            <w:noWrap/>
            <w:vAlign w:val="center"/>
          </w:tcPr>
          <w:p>
            <w:pPr>
              <w:jc w:val="center"/>
              <w:rPr>
                <w:szCs w:val="21"/>
              </w:rPr>
            </w:pPr>
            <w:r>
              <w:rPr>
                <w:rFonts w:hint="eastAsia" w:ascii="宋体" w:hAnsi="宋体"/>
                <w:color w:val="000000"/>
                <w:kern w:val="0"/>
                <w:szCs w:val="21"/>
              </w:rPr>
              <w:t>东莞银行松山湖科技支行</w:t>
            </w:r>
          </w:p>
        </w:tc>
        <w:tc>
          <w:tcPr>
            <w:tcW w:w="992" w:type="dxa"/>
            <w:noWrap/>
            <w:vAlign w:val="center"/>
          </w:tcPr>
          <w:p>
            <w:pPr>
              <w:jc w:val="center"/>
              <w:rPr>
                <w:szCs w:val="21"/>
              </w:rPr>
            </w:pPr>
            <w:r>
              <w:rPr>
                <w:szCs w:val="21"/>
              </w:rPr>
              <w:t>结构性存款</w:t>
            </w:r>
          </w:p>
        </w:tc>
        <w:tc>
          <w:tcPr>
            <w:tcW w:w="1134" w:type="dxa"/>
            <w:noWrap/>
            <w:vAlign w:val="center"/>
          </w:tcPr>
          <w:p>
            <w:pPr>
              <w:jc w:val="center"/>
              <w:rPr>
                <w:szCs w:val="21"/>
              </w:rPr>
            </w:pPr>
            <w:r>
              <w:rPr>
                <w:szCs w:val="21"/>
              </w:rPr>
              <w:t>保本浮动收益型</w:t>
            </w:r>
          </w:p>
        </w:tc>
        <w:tc>
          <w:tcPr>
            <w:tcW w:w="1560" w:type="dxa"/>
            <w:noWrap/>
            <w:vAlign w:val="center"/>
          </w:tcPr>
          <w:p>
            <w:pPr>
              <w:jc w:val="center"/>
              <w:rPr>
                <w:szCs w:val="21"/>
              </w:rPr>
            </w:pPr>
            <w:r>
              <w:rPr>
                <w:szCs w:val="21"/>
              </w:rPr>
              <w:t>22,000,000.00</w:t>
            </w:r>
          </w:p>
        </w:tc>
        <w:tc>
          <w:tcPr>
            <w:tcW w:w="1275" w:type="dxa"/>
            <w:noWrap/>
            <w:vAlign w:val="center"/>
          </w:tcPr>
          <w:p>
            <w:pPr>
              <w:jc w:val="center"/>
              <w:rPr>
                <w:szCs w:val="21"/>
              </w:rPr>
            </w:pPr>
            <w:r>
              <w:rPr>
                <w:szCs w:val="21"/>
              </w:rPr>
              <w:t>2020-11-4</w:t>
            </w:r>
          </w:p>
        </w:tc>
        <w:tc>
          <w:tcPr>
            <w:tcW w:w="1276" w:type="dxa"/>
            <w:noWrap/>
            <w:vAlign w:val="center"/>
          </w:tcPr>
          <w:p>
            <w:pPr>
              <w:jc w:val="center"/>
              <w:rPr>
                <w:szCs w:val="21"/>
              </w:rPr>
            </w:pPr>
            <w:r>
              <w:rPr>
                <w:szCs w:val="21"/>
              </w:rPr>
              <w:t>2021-1-4</w:t>
            </w:r>
          </w:p>
        </w:tc>
        <w:tc>
          <w:tcPr>
            <w:tcW w:w="851" w:type="dxa"/>
            <w:noWrap/>
            <w:vAlign w:val="center"/>
          </w:tcPr>
          <w:p>
            <w:pPr>
              <w:jc w:val="center"/>
              <w:rPr>
                <w:szCs w:val="21"/>
              </w:rPr>
            </w:pPr>
            <w:r>
              <w:rPr>
                <w:szCs w:val="21"/>
              </w:rPr>
              <w:t>1.65%-3.45%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271" w:type="dxa"/>
            <w:noWrap/>
            <w:vAlign w:val="center"/>
          </w:tcPr>
          <w:p>
            <w:pPr>
              <w:jc w:val="center"/>
              <w:rPr>
                <w:szCs w:val="21"/>
              </w:rPr>
            </w:pPr>
            <w:r>
              <w:rPr>
                <w:rFonts w:hint="eastAsia" w:ascii="宋体" w:hAnsi="宋体"/>
                <w:color w:val="000000"/>
                <w:kern w:val="0"/>
                <w:szCs w:val="21"/>
              </w:rPr>
              <w:t>东莞银行松山湖科技支行</w:t>
            </w:r>
          </w:p>
        </w:tc>
        <w:tc>
          <w:tcPr>
            <w:tcW w:w="992" w:type="dxa"/>
            <w:noWrap/>
            <w:vAlign w:val="center"/>
          </w:tcPr>
          <w:p>
            <w:pPr>
              <w:jc w:val="center"/>
              <w:rPr>
                <w:szCs w:val="21"/>
              </w:rPr>
            </w:pPr>
            <w:r>
              <w:rPr>
                <w:szCs w:val="21"/>
              </w:rPr>
              <w:t>结构性存款</w:t>
            </w:r>
          </w:p>
        </w:tc>
        <w:tc>
          <w:tcPr>
            <w:tcW w:w="1134" w:type="dxa"/>
            <w:noWrap/>
            <w:vAlign w:val="center"/>
          </w:tcPr>
          <w:p>
            <w:pPr>
              <w:jc w:val="center"/>
              <w:rPr>
                <w:szCs w:val="21"/>
              </w:rPr>
            </w:pPr>
            <w:r>
              <w:rPr>
                <w:szCs w:val="21"/>
              </w:rPr>
              <w:t>保本浮动收益型</w:t>
            </w:r>
          </w:p>
        </w:tc>
        <w:tc>
          <w:tcPr>
            <w:tcW w:w="1560" w:type="dxa"/>
            <w:noWrap/>
            <w:vAlign w:val="center"/>
          </w:tcPr>
          <w:p>
            <w:pPr>
              <w:jc w:val="center"/>
              <w:rPr>
                <w:szCs w:val="21"/>
              </w:rPr>
            </w:pPr>
            <w:r>
              <w:rPr>
                <w:szCs w:val="21"/>
              </w:rPr>
              <w:t>20,000,000.00</w:t>
            </w:r>
          </w:p>
        </w:tc>
        <w:tc>
          <w:tcPr>
            <w:tcW w:w="1275" w:type="dxa"/>
            <w:noWrap/>
            <w:vAlign w:val="center"/>
          </w:tcPr>
          <w:p>
            <w:pPr>
              <w:jc w:val="center"/>
              <w:rPr>
                <w:szCs w:val="21"/>
              </w:rPr>
            </w:pPr>
            <w:r>
              <w:rPr>
                <w:szCs w:val="21"/>
              </w:rPr>
              <w:t>2020-11-4</w:t>
            </w:r>
          </w:p>
        </w:tc>
        <w:tc>
          <w:tcPr>
            <w:tcW w:w="1276" w:type="dxa"/>
            <w:noWrap/>
            <w:vAlign w:val="center"/>
          </w:tcPr>
          <w:p>
            <w:pPr>
              <w:jc w:val="center"/>
              <w:rPr>
                <w:szCs w:val="21"/>
              </w:rPr>
            </w:pPr>
            <w:r>
              <w:rPr>
                <w:szCs w:val="21"/>
              </w:rPr>
              <w:t>2021-1-4</w:t>
            </w:r>
          </w:p>
        </w:tc>
        <w:tc>
          <w:tcPr>
            <w:tcW w:w="851" w:type="dxa"/>
            <w:noWrap/>
            <w:vAlign w:val="center"/>
          </w:tcPr>
          <w:p>
            <w:pPr>
              <w:jc w:val="center"/>
              <w:rPr>
                <w:szCs w:val="21"/>
              </w:rPr>
            </w:pPr>
            <w:r>
              <w:rPr>
                <w:szCs w:val="21"/>
              </w:rPr>
              <w:t>1.65%-3.45%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271" w:type="dxa"/>
            <w:noWrap/>
            <w:vAlign w:val="center"/>
          </w:tcPr>
          <w:p>
            <w:pPr>
              <w:jc w:val="center"/>
              <w:rPr>
                <w:szCs w:val="21"/>
              </w:rPr>
            </w:pPr>
            <w:r>
              <w:rPr>
                <w:rFonts w:hint="eastAsia" w:ascii="宋体" w:hAnsi="宋体"/>
                <w:color w:val="000000"/>
                <w:kern w:val="0"/>
                <w:szCs w:val="21"/>
              </w:rPr>
              <w:t>东莞银行松山湖科技支行</w:t>
            </w:r>
          </w:p>
        </w:tc>
        <w:tc>
          <w:tcPr>
            <w:tcW w:w="992" w:type="dxa"/>
            <w:noWrap/>
            <w:vAlign w:val="center"/>
          </w:tcPr>
          <w:p>
            <w:pPr>
              <w:jc w:val="center"/>
              <w:rPr>
                <w:szCs w:val="21"/>
              </w:rPr>
            </w:pPr>
            <w:r>
              <w:rPr>
                <w:szCs w:val="21"/>
              </w:rPr>
              <w:t>结构性存款</w:t>
            </w:r>
          </w:p>
        </w:tc>
        <w:tc>
          <w:tcPr>
            <w:tcW w:w="1134" w:type="dxa"/>
            <w:noWrap/>
            <w:vAlign w:val="center"/>
          </w:tcPr>
          <w:p>
            <w:pPr>
              <w:jc w:val="center"/>
              <w:rPr>
                <w:szCs w:val="21"/>
              </w:rPr>
            </w:pPr>
            <w:r>
              <w:rPr>
                <w:szCs w:val="21"/>
              </w:rPr>
              <w:t>保本浮动收益型</w:t>
            </w:r>
          </w:p>
        </w:tc>
        <w:tc>
          <w:tcPr>
            <w:tcW w:w="1560" w:type="dxa"/>
            <w:noWrap/>
            <w:vAlign w:val="center"/>
          </w:tcPr>
          <w:p>
            <w:pPr>
              <w:jc w:val="center"/>
              <w:rPr>
                <w:szCs w:val="21"/>
              </w:rPr>
            </w:pPr>
            <w:r>
              <w:rPr>
                <w:szCs w:val="21"/>
              </w:rPr>
              <w:t>52,000,000.00</w:t>
            </w:r>
          </w:p>
        </w:tc>
        <w:tc>
          <w:tcPr>
            <w:tcW w:w="1275" w:type="dxa"/>
            <w:noWrap/>
            <w:vAlign w:val="center"/>
          </w:tcPr>
          <w:p>
            <w:pPr>
              <w:jc w:val="center"/>
              <w:rPr>
                <w:szCs w:val="21"/>
              </w:rPr>
            </w:pPr>
            <w:r>
              <w:rPr>
                <w:szCs w:val="21"/>
              </w:rPr>
              <w:t>2020-11-30</w:t>
            </w:r>
          </w:p>
        </w:tc>
        <w:tc>
          <w:tcPr>
            <w:tcW w:w="1276" w:type="dxa"/>
            <w:noWrap/>
            <w:vAlign w:val="center"/>
          </w:tcPr>
          <w:p>
            <w:pPr>
              <w:jc w:val="center"/>
              <w:rPr>
                <w:szCs w:val="21"/>
              </w:rPr>
            </w:pPr>
            <w:r>
              <w:rPr>
                <w:szCs w:val="21"/>
              </w:rPr>
              <w:t>2021-3-1</w:t>
            </w:r>
          </w:p>
        </w:tc>
        <w:tc>
          <w:tcPr>
            <w:tcW w:w="851" w:type="dxa"/>
            <w:noWrap/>
            <w:vAlign w:val="center"/>
          </w:tcPr>
          <w:p>
            <w:pPr>
              <w:jc w:val="center"/>
              <w:rPr>
                <w:szCs w:val="21"/>
              </w:rPr>
            </w:pPr>
            <w:r>
              <w:rPr>
                <w:szCs w:val="21"/>
              </w:rPr>
              <w:t>1.65%-3.50%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3397" w:type="dxa"/>
            <w:gridSpan w:val="3"/>
            <w:noWrap/>
            <w:vAlign w:val="center"/>
          </w:tcPr>
          <w:p>
            <w:pPr>
              <w:jc w:val="center"/>
              <w:rPr>
                <w:szCs w:val="21"/>
              </w:rPr>
            </w:pPr>
            <w:r>
              <w:rPr>
                <w:szCs w:val="21"/>
              </w:rPr>
              <w:t>合计</w:t>
            </w:r>
          </w:p>
        </w:tc>
        <w:tc>
          <w:tcPr>
            <w:tcW w:w="1560" w:type="dxa"/>
            <w:noWrap/>
            <w:vAlign w:val="center"/>
          </w:tcPr>
          <w:p>
            <w:pPr>
              <w:jc w:val="center"/>
              <w:rPr>
                <w:szCs w:val="21"/>
              </w:rPr>
            </w:pPr>
            <w:r>
              <w:rPr>
                <w:szCs w:val="21"/>
              </w:rPr>
              <w:t>167,000,000.00</w:t>
            </w:r>
          </w:p>
        </w:tc>
        <w:tc>
          <w:tcPr>
            <w:tcW w:w="1275" w:type="dxa"/>
            <w:noWrap/>
            <w:vAlign w:val="center"/>
          </w:tcPr>
          <w:p>
            <w:pPr>
              <w:jc w:val="center"/>
              <w:rPr>
                <w:szCs w:val="21"/>
              </w:rPr>
            </w:pPr>
            <w:r>
              <w:rPr>
                <w:szCs w:val="21"/>
              </w:rPr>
              <w:t>-</w:t>
            </w:r>
          </w:p>
        </w:tc>
        <w:tc>
          <w:tcPr>
            <w:tcW w:w="1276" w:type="dxa"/>
            <w:noWrap/>
            <w:vAlign w:val="center"/>
          </w:tcPr>
          <w:p>
            <w:pPr>
              <w:jc w:val="center"/>
              <w:rPr>
                <w:szCs w:val="21"/>
              </w:rPr>
            </w:pPr>
            <w:r>
              <w:rPr>
                <w:szCs w:val="21"/>
              </w:rPr>
              <w:t>-</w:t>
            </w:r>
          </w:p>
        </w:tc>
        <w:tc>
          <w:tcPr>
            <w:tcW w:w="851" w:type="dxa"/>
            <w:noWrap/>
            <w:vAlign w:val="center"/>
          </w:tcPr>
          <w:p>
            <w:pPr>
              <w:jc w:val="center"/>
              <w:rPr>
                <w:szCs w:val="21"/>
              </w:rPr>
            </w:pPr>
            <w:r>
              <w:rPr>
                <w:szCs w:val="21"/>
              </w:rPr>
              <w:t>-</w:t>
            </w:r>
          </w:p>
        </w:tc>
      </w:tr>
    </w:tbl>
    <w:p>
      <w:pPr>
        <w:adjustRightInd w:val="0"/>
        <w:snapToGrid w:val="0"/>
        <w:spacing w:line="360" w:lineRule="auto"/>
        <w:rPr>
          <w:rFonts w:ascii="宋体" w:hAnsi="宋体" w:cs="Arial Unicode MS"/>
          <w:sz w:val="24"/>
        </w:rPr>
      </w:pPr>
    </w:p>
    <w:p>
      <w:pPr>
        <w:adjustRightInd w:val="0"/>
        <w:snapToGrid w:val="0"/>
        <w:spacing w:line="360" w:lineRule="auto"/>
        <w:ind w:firstLine="560" w:firstLineChars="200"/>
        <w:rPr>
          <w:rFonts w:ascii="宋体" w:hAnsi="宋体" w:cs="Arial Unicode MS"/>
          <w:sz w:val="28"/>
          <w:szCs w:val="28"/>
        </w:rPr>
      </w:pPr>
      <w:r>
        <w:rPr>
          <w:rFonts w:hint="eastAsia" w:ascii="宋体" w:hAnsi="宋体" w:cs="Arial Unicode MS"/>
          <w:sz w:val="28"/>
          <w:szCs w:val="28"/>
        </w:rPr>
        <w:t>（五）用超募资金永久补充流动资金或归还银行贷款情况</w:t>
      </w:r>
    </w:p>
    <w:p>
      <w:pPr>
        <w:adjustRightInd w:val="0"/>
        <w:snapToGrid w:val="0"/>
        <w:spacing w:line="360" w:lineRule="auto"/>
        <w:ind w:firstLine="560" w:firstLineChars="200"/>
        <w:rPr>
          <w:rFonts w:ascii="宋体" w:hAnsi="宋体" w:cs="Arial Unicode MS"/>
          <w:sz w:val="28"/>
          <w:szCs w:val="28"/>
        </w:rPr>
      </w:pPr>
      <w:r>
        <w:rPr>
          <w:rFonts w:ascii="宋体" w:hAnsi="宋体" w:cs="Arial Unicode MS"/>
          <w:sz w:val="28"/>
          <w:szCs w:val="28"/>
        </w:rPr>
        <w:t>公司无超募资金</w:t>
      </w:r>
      <w:r>
        <w:rPr>
          <w:rFonts w:hint="eastAsia" w:ascii="宋体" w:hAnsi="宋体" w:cs="Arial Unicode MS"/>
          <w:sz w:val="28"/>
          <w:szCs w:val="28"/>
        </w:rPr>
        <w:t>，也不存在用超募资金永久补流或归还银行贷款的情况</w:t>
      </w:r>
      <w:r>
        <w:rPr>
          <w:rFonts w:ascii="宋体" w:hAnsi="宋体" w:cs="Arial Unicode MS"/>
          <w:sz w:val="28"/>
          <w:szCs w:val="28"/>
        </w:rPr>
        <w:t>。</w:t>
      </w:r>
    </w:p>
    <w:p>
      <w:pPr>
        <w:adjustRightInd w:val="0"/>
        <w:snapToGrid w:val="0"/>
        <w:spacing w:line="360" w:lineRule="auto"/>
        <w:ind w:firstLine="560" w:firstLineChars="200"/>
        <w:rPr>
          <w:rFonts w:ascii="宋体" w:hAnsi="宋体" w:cs="Arial Unicode MS"/>
          <w:sz w:val="28"/>
          <w:szCs w:val="28"/>
        </w:rPr>
      </w:pPr>
      <w:r>
        <w:rPr>
          <w:rFonts w:hint="eastAsia" w:ascii="宋体" w:hAnsi="宋体" w:cs="Arial Unicode MS"/>
          <w:sz w:val="28"/>
          <w:szCs w:val="28"/>
        </w:rPr>
        <w:t>（六）超募资金用于在建项目及新项目（包括收购资产等）的情况</w:t>
      </w:r>
    </w:p>
    <w:p>
      <w:pPr>
        <w:adjustRightInd w:val="0"/>
        <w:snapToGrid w:val="0"/>
        <w:spacing w:line="360" w:lineRule="auto"/>
        <w:ind w:firstLine="560" w:firstLineChars="200"/>
        <w:rPr>
          <w:sz w:val="28"/>
          <w:szCs w:val="28"/>
        </w:rPr>
      </w:pPr>
      <w:r>
        <w:rPr>
          <w:sz w:val="28"/>
          <w:szCs w:val="28"/>
        </w:rPr>
        <w:t>公司无超募资金</w:t>
      </w:r>
      <w:r>
        <w:rPr>
          <w:rFonts w:hint="eastAsia"/>
          <w:sz w:val="28"/>
          <w:szCs w:val="28"/>
        </w:rPr>
        <w:t>，也不存在用超募资金用于在建工程及新项目的情况。</w:t>
      </w:r>
    </w:p>
    <w:p>
      <w:pPr>
        <w:adjustRightInd w:val="0"/>
        <w:snapToGrid w:val="0"/>
        <w:spacing w:line="360" w:lineRule="auto"/>
        <w:ind w:firstLine="560" w:firstLineChars="200"/>
        <w:rPr>
          <w:rFonts w:ascii="宋体" w:hAnsi="宋体" w:cs="Arial Unicode MS"/>
          <w:sz w:val="28"/>
          <w:szCs w:val="28"/>
        </w:rPr>
      </w:pPr>
      <w:r>
        <w:rPr>
          <w:rFonts w:hint="eastAsia" w:ascii="宋体" w:hAnsi="宋体" w:cs="Arial Unicode MS"/>
          <w:sz w:val="28"/>
          <w:szCs w:val="28"/>
        </w:rPr>
        <w:t>（七）节余募集资金使用情况</w:t>
      </w:r>
    </w:p>
    <w:p>
      <w:pPr>
        <w:overflowPunct w:val="0"/>
        <w:spacing w:before="120" w:beforeLines="50" w:after="120" w:afterLines="50" w:line="360" w:lineRule="auto"/>
        <w:ind w:firstLine="560" w:firstLineChars="200"/>
        <w:rPr>
          <w:rFonts w:ascii="宋体" w:hAnsi="宋体" w:cs="Arial Unicode MS"/>
          <w:sz w:val="28"/>
          <w:szCs w:val="28"/>
        </w:rPr>
      </w:pPr>
      <w:r>
        <w:rPr>
          <w:rFonts w:ascii="宋体" w:hAnsi="宋体" w:cs="Arial Unicode MS"/>
          <w:sz w:val="28"/>
          <w:szCs w:val="28"/>
        </w:rPr>
        <w:t>截至2020年12月31日，公司未发生结余募集资金使用情况。</w:t>
      </w:r>
    </w:p>
    <w:p>
      <w:pPr>
        <w:adjustRightInd w:val="0"/>
        <w:snapToGrid w:val="0"/>
        <w:spacing w:line="360" w:lineRule="auto"/>
        <w:ind w:firstLine="560" w:firstLineChars="200"/>
        <w:rPr>
          <w:rFonts w:ascii="宋体" w:hAnsi="宋体" w:cs="Arial Unicode MS"/>
          <w:sz w:val="28"/>
          <w:szCs w:val="28"/>
        </w:rPr>
      </w:pPr>
      <w:r>
        <w:rPr>
          <w:rFonts w:hint="eastAsia" w:ascii="宋体" w:hAnsi="宋体" w:cs="Arial Unicode MS"/>
          <w:sz w:val="28"/>
          <w:szCs w:val="28"/>
        </w:rPr>
        <w:t>（八）募集资金使用的其他情况</w:t>
      </w:r>
    </w:p>
    <w:p>
      <w:pPr>
        <w:overflowPunct w:val="0"/>
        <w:spacing w:before="120" w:beforeLines="50" w:after="120" w:afterLines="50" w:line="360" w:lineRule="auto"/>
        <w:ind w:firstLine="560" w:firstLineChars="200"/>
        <w:rPr>
          <w:rFonts w:ascii="宋体" w:hAnsi="宋体" w:cs="Arial Unicode MS"/>
          <w:sz w:val="28"/>
          <w:szCs w:val="28"/>
        </w:rPr>
      </w:pPr>
      <w:r>
        <w:rPr>
          <w:rFonts w:ascii="宋体" w:hAnsi="宋体" w:cs="Arial Unicode MS"/>
          <w:sz w:val="28"/>
          <w:szCs w:val="28"/>
        </w:rPr>
        <w:t>2020年度，除上述已披露情况外，公司不存在募集资金使用的其他情况。</w:t>
      </w:r>
    </w:p>
    <w:p>
      <w:pPr>
        <w:adjustRightInd w:val="0"/>
        <w:snapToGrid w:val="0"/>
        <w:spacing w:line="360" w:lineRule="auto"/>
        <w:ind w:firstLine="562" w:firstLineChars="200"/>
        <w:rPr>
          <w:rFonts w:ascii="宋体" w:hAnsi="宋体" w:cs="Arial Unicode MS"/>
          <w:b/>
          <w:sz w:val="28"/>
          <w:szCs w:val="28"/>
        </w:rPr>
      </w:pPr>
      <w:r>
        <w:rPr>
          <w:rFonts w:hint="eastAsia" w:ascii="宋体" w:hAnsi="宋体" w:cs="Arial Unicode MS"/>
          <w:b/>
          <w:sz w:val="28"/>
          <w:szCs w:val="28"/>
        </w:rPr>
        <w:t>四、变更募投项目的资金使用情况</w:t>
      </w:r>
    </w:p>
    <w:p>
      <w:pPr>
        <w:adjustRightInd w:val="0"/>
        <w:snapToGrid w:val="0"/>
        <w:spacing w:line="360" w:lineRule="auto"/>
        <w:ind w:firstLine="560" w:firstLineChars="200"/>
        <w:rPr>
          <w:rFonts w:ascii="宋体" w:hAnsi="宋体" w:cs="Arial Unicode MS"/>
          <w:b/>
          <w:sz w:val="28"/>
          <w:szCs w:val="28"/>
        </w:rPr>
      </w:pPr>
      <w:r>
        <w:rPr>
          <w:rFonts w:ascii="宋体" w:hAnsi="宋体" w:cs="Arial Unicode MS"/>
          <w:sz w:val="28"/>
          <w:szCs w:val="28"/>
        </w:rPr>
        <w:t>2020</w:t>
      </w:r>
      <w:r>
        <w:rPr>
          <w:rFonts w:hint="eastAsia" w:ascii="宋体" w:hAnsi="宋体" w:cs="Arial Unicode MS"/>
          <w:sz w:val="28"/>
          <w:szCs w:val="28"/>
        </w:rPr>
        <w:t>年度，公司的募集资金投资项目未发生变更。</w:t>
      </w:r>
    </w:p>
    <w:p>
      <w:pPr>
        <w:adjustRightInd w:val="0"/>
        <w:snapToGrid w:val="0"/>
        <w:spacing w:line="360" w:lineRule="auto"/>
        <w:ind w:firstLine="562" w:firstLineChars="200"/>
        <w:rPr>
          <w:rFonts w:ascii="宋体" w:hAnsi="宋体" w:cs="Arial Unicode MS"/>
          <w:b/>
          <w:sz w:val="28"/>
          <w:szCs w:val="28"/>
        </w:rPr>
      </w:pPr>
      <w:r>
        <w:rPr>
          <w:rFonts w:hint="eastAsia" w:ascii="宋体" w:hAnsi="宋体" w:cs="Arial Unicode MS"/>
          <w:b/>
          <w:sz w:val="28"/>
          <w:szCs w:val="28"/>
        </w:rPr>
        <w:t>五、募集资金使用及披露中存在的问题</w:t>
      </w:r>
    </w:p>
    <w:p>
      <w:pPr>
        <w:adjustRightInd w:val="0"/>
        <w:snapToGrid w:val="0"/>
        <w:spacing w:line="360" w:lineRule="auto"/>
        <w:ind w:firstLine="560" w:firstLineChars="200"/>
        <w:rPr>
          <w:rFonts w:ascii="宋体" w:hAnsi="宋体" w:cs="Arial Unicode MS"/>
          <w:sz w:val="28"/>
          <w:szCs w:val="28"/>
        </w:rPr>
      </w:pPr>
      <w:r>
        <w:rPr>
          <w:rFonts w:ascii="宋体" w:hAnsi="宋体" w:cs="Arial Unicode MS"/>
          <w:sz w:val="28"/>
          <w:szCs w:val="28"/>
        </w:rPr>
        <w:t>2020</w:t>
      </w:r>
      <w:r>
        <w:rPr>
          <w:rFonts w:hint="eastAsia" w:ascii="宋体" w:hAnsi="宋体" w:cs="Arial Unicode MS"/>
          <w:sz w:val="28"/>
          <w:szCs w:val="28"/>
        </w:rPr>
        <w:t>年，公司按照《上海证券交易所上市公司募集资金管理办法（2013 年修订）》和《募集资金管理制度》的相关规定，真实、准确、完整、及时地披露了公司募集资金的使用及管理情况，不存在募集资金管理违规的情形。</w:t>
      </w:r>
    </w:p>
    <w:p>
      <w:pPr>
        <w:adjustRightInd w:val="0"/>
        <w:snapToGrid w:val="0"/>
        <w:spacing w:line="360" w:lineRule="auto"/>
        <w:ind w:firstLine="562" w:firstLineChars="200"/>
        <w:rPr>
          <w:rFonts w:ascii="宋体" w:hAnsi="宋体" w:cs="Arial Unicode MS"/>
          <w:b/>
          <w:sz w:val="28"/>
          <w:szCs w:val="28"/>
        </w:rPr>
      </w:pPr>
      <w:r>
        <w:rPr>
          <w:rFonts w:hint="eastAsia" w:ascii="宋体" w:hAnsi="宋体" w:cs="Arial Unicode MS"/>
          <w:b/>
          <w:sz w:val="28"/>
          <w:szCs w:val="28"/>
        </w:rPr>
        <w:t>六、会计师事务所对公司年度募集资金存放与使用情况出具的鉴证报告的结论性意见</w:t>
      </w:r>
    </w:p>
    <w:p>
      <w:pPr>
        <w:adjustRightInd w:val="0"/>
        <w:snapToGrid w:val="0"/>
        <w:spacing w:line="360" w:lineRule="auto"/>
        <w:ind w:firstLine="560" w:firstLineChars="200"/>
        <w:rPr>
          <w:rFonts w:ascii="宋体" w:hAnsi="宋体" w:cs="Arial Unicode MS"/>
          <w:sz w:val="28"/>
          <w:szCs w:val="28"/>
        </w:rPr>
      </w:pPr>
      <w:r>
        <w:rPr>
          <w:rFonts w:hint="eastAsia" w:ascii="宋体" w:hAnsi="宋体" w:cs="Arial Unicode MS"/>
          <w:sz w:val="28"/>
          <w:szCs w:val="28"/>
        </w:rPr>
        <w:t>我们认为，深圳市有方科技公司2020年度募集资金存放与使用情况专项报告在所有重大方面按照中国证券监督管理委员会《上市公司监管指引第2号—上市公司募集资金管理和使用的监管要求》（证监会公告［2012］44号）、《上海证券交易所上市公司募集资金管理办法（2013修订）》以及上海证券交易所《上市公司日常信息披露工作备忘录第一号——临时公告格式指引》的相关规定编制，在所有重大方面如实反映了深圳市有方科技公司2020年度募集资金存放与使用情况。</w:t>
      </w:r>
    </w:p>
    <w:p>
      <w:pPr>
        <w:adjustRightInd w:val="0"/>
        <w:snapToGrid w:val="0"/>
        <w:spacing w:line="360" w:lineRule="auto"/>
        <w:ind w:firstLine="562" w:firstLineChars="200"/>
        <w:rPr>
          <w:rFonts w:ascii="宋体" w:hAnsi="宋体" w:cs="Arial Unicode MS"/>
          <w:b/>
          <w:sz w:val="28"/>
          <w:szCs w:val="28"/>
        </w:rPr>
      </w:pPr>
      <w:r>
        <w:rPr>
          <w:rFonts w:hint="eastAsia" w:ascii="宋体" w:hAnsi="宋体" w:cs="Arial Unicode MS"/>
          <w:b/>
          <w:sz w:val="28"/>
          <w:szCs w:val="28"/>
        </w:rPr>
        <w:t>七、保荐机构对公司年度募集资金存放与使用情况所出具的专项核查报告的结论性意见</w:t>
      </w:r>
    </w:p>
    <w:p>
      <w:pPr>
        <w:adjustRightInd w:val="0"/>
        <w:snapToGrid w:val="0"/>
        <w:spacing w:line="360" w:lineRule="auto"/>
        <w:ind w:firstLine="560" w:firstLineChars="200"/>
        <w:rPr>
          <w:rFonts w:ascii="宋体" w:hAnsi="宋体" w:cs="Arial Unicode MS"/>
          <w:sz w:val="28"/>
          <w:szCs w:val="28"/>
        </w:rPr>
      </w:pPr>
      <w:r>
        <w:rPr>
          <w:rFonts w:hint="eastAsia" w:ascii="宋体" w:hAnsi="宋体" w:cs="Arial Unicode MS"/>
          <w:sz w:val="28"/>
          <w:szCs w:val="28"/>
        </w:rPr>
        <w:t>经核查，华创证券有限责任公司认为：有方科技2020年度募集资金存放与使用情况符合《上海证券交易所科创板股票上市规则》、《上海证券交易所上市公司募集资金管理办法》、《募集资金管理制度》等法律法规、公司制度文件的规定，公司对募集资金进行了专户存储和专项使用，并及时履行了相关信息披露义务，募集资金具体使用情况与公司已披露情况一致，不存在变相改变募集资金用途和损害股东利益的情况，不存在违规使用募集资金的情形。</w:t>
      </w:r>
    </w:p>
    <w:p>
      <w:pPr>
        <w:adjustRightInd w:val="0"/>
        <w:snapToGrid w:val="0"/>
        <w:spacing w:line="360" w:lineRule="auto"/>
        <w:ind w:firstLine="562" w:firstLineChars="200"/>
        <w:rPr>
          <w:rFonts w:ascii="宋体" w:hAnsi="宋体" w:cs="Arial Unicode MS"/>
          <w:b/>
          <w:sz w:val="28"/>
          <w:szCs w:val="28"/>
        </w:rPr>
      </w:pPr>
      <w:r>
        <w:rPr>
          <w:rFonts w:ascii="宋体" w:hAnsi="宋体" w:cs="Arial Unicode MS"/>
          <w:b/>
          <w:sz w:val="28"/>
          <w:szCs w:val="28"/>
        </w:rPr>
        <w:t> </w:t>
      </w:r>
      <w:r>
        <w:rPr>
          <w:rFonts w:hint="eastAsia" w:ascii="宋体" w:hAnsi="宋体" w:cs="Arial Unicode MS"/>
          <w:b/>
          <w:sz w:val="28"/>
          <w:szCs w:val="28"/>
        </w:rPr>
        <w:t>八、上网公告附件</w:t>
      </w:r>
    </w:p>
    <w:p>
      <w:pPr>
        <w:adjustRightInd w:val="0"/>
        <w:snapToGrid w:val="0"/>
        <w:spacing w:line="360" w:lineRule="auto"/>
        <w:ind w:firstLine="560" w:firstLineChars="200"/>
        <w:rPr>
          <w:rFonts w:ascii="宋体" w:hAnsi="宋体" w:cs="Arial Unicode MS"/>
          <w:sz w:val="28"/>
          <w:szCs w:val="28"/>
        </w:rPr>
      </w:pPr>
      <w:r>
        <w:rPr>
          <w:rFonts w:hint="eastAsia" w:ascii="宋体" w:hAnsi="宋体" w:cs="Arial Unicode MS"/>
          <w:sz w:val="28"/>
          <w:szCs w:val="28"/>
        </w:rPr>
        <w:t>（一）《华创证券有限责任公司关于深圳市有方科技股份有限公司2020年度募集资金存放与使用情况的专项核查意见》；</w:t>
      </w:r>
    </w:p>
    <w:p>
      <w:pPr>
        <w:adjustRightInd w:val="0"/>
        <w:snapToGrid w:val="0"/>
        <w:spacing w:line="360" w:lineRule="auto"/>
        <w:ind w:firstLine="560" w:firstLineChars="200"/>
        <w:rPr>
          <w:rFonts w:ascii="宋体" w:hAnsi="宋体" w:cs="Arial Unicode MS"/>
          <w:sz w:val="28"/>
          <w:szCs w:val="28"/>
        </w:rPr>
      </w:pPr>
      <w:r>
        <w:rPr>
          <w:rFonts w:hint="eastAsia" w:ascii="宋体" w:hAnsi="宋体" w:cs="Arial Unicode MS"/>
          <w:sz w:val="28"/>
          <w:szCs w:val="28"/>
        </w:rPr>
        <w:t>（二）《关于深圳市有方科技股份有限公司2020年度募集资金存放与使用情况专项报告的鉴证报告》。</w:t>
      </w:r>
    </w:p>
    <w:p>
      <w:pPr>
        <w:adjustRightInd w:val="0"/>
        <w:snapToGrid w:val="0"/>
        <w:spacing w:line="360" w:lineRule="auto"/>
        <w:ind w:firstLine="560" w:firstLineChars="200"/>
        <w:rPr>
          <w:rFonts w:ascii="宋体" w:hAnsi="宋体"/>
          <w:color w:val="000000"/>
          <w:sz w:val="28"/>
          <w:szCs w:val="28"/>
        </w:rPr>
      </w:pPr>
      <w:r>
        <w:rPr>
          <w:rFonts w:hint="eastAsia" w:ascii="宋体" w:hAnsi="宋体"/>
          <w:color w:val="000000"/>
          <w:sz w:val="28"/>
          <w:szCs w:val="28"/>
        </w:rPr>
        <w:t>特此公告。</w:t>
      </w:r>
    </w:p>
    <w:p>
      <w:pPr>
        <w:adjustRightInd w:val="0"/>
        <w:snapToGrid w:val="0"/>
        <w:spacing w:line="360" w:lineRule="auto"/>
        <w:ind w:firstLine="560" w:firstLineChars="200"/>
        <w:rPr>
          <w:rFonts w:ascii="宋体" w:hAnsi="宋体"/>
          <w:color w:val="000000"/>
          <w:sz w:val="28"/>
          <w:szCs w:val="28"/>
        </w:rPr>
      </w:pPr>
    </w:p>
    <w:p>
      <w:pPr>
        <w:adjustRightInd w:val="0"/>
        <w:snapToGrid w:val="0"/>
        <w:spacing w:line="360" w:lineRule="auto"/>
        <w:ind w:firstLine="560" w:firstLineChars="200"/>
        <w:jc w:val="right"/>
        <w:rPr>
          <w:rFonts w:ascii="宋体" w:hAnsi="宋体"/>
          <w:color w:val="000000"/>
          <w:sz w:val="28"/>
          <w:szCs w:val="28"/>
        </w:rPr>
      </w:pPr>
      <w:r>
        <w:rPr>
          <w:rFonts w:hint="eastAsia" w:ascii="宋体" w:hAnsi="宋体"/>
          <w:color w:val="000000"/>
          <w:sz w:val="28"/>
          <w:szCs w:val="28"/>
        </w:rPr>
        <w:t>深圳市有方</w:t>
      </w:r>
      <w:r>
        <w:rPr>
          <w:rFonts w:ascii="宋体" w:hAnsi="宋体"/>
          <w:color w:val="000000"/>
          <w:sz w:val="28"/>
          <w:szCs w:val="28"/>
        </w:rPr>
        <w:t>科技</w:t>
      </w:r>
      <w:r>
        <w:rPr>
          <w:rFonts w:hint="eastAsia" w:ascii="宋体" w:hAnsi="宋体"/>
          <w:color w:val="000000"/>
          <w:sz w:val="28"/>
          <w:szCs w:val="28"/>
        </w:rPr>
        <w:t>股份有限公司董事会</w:t>
      </w:r>
    </w:p>
    <w:p>
      <w:pPr>
        <w:adjustRightInd w:val="0"/>
        <w:snapToGrid w:val="0"/>
        <w:spacing w:line="360" w:lineRule="auto"/>
        <w:ind w:firstLine="560" w:firstLineChars="200"/>
        <w:jc w:val="right"/>
        <w:rPr>
          <w:rFonts w:ascii="宋体" w:hAnsi="宋体"/>
          <w:color w:val="000000"/>
          <w:sz w:val="28"/>
          <w:szCs w:val="28"/>
        </w:rPr>
      </w:pPr>
      <w:r>
        <w:rPr>
          <w:rFonts w:hint="eastAsia" w:ascii="宋体" w:hAnsi="宋体"/>
          <w:color w:val="000000"/>
          <w:sz w:val="28"/>
          <w:szCs w:val="28"/>
        </w:rPr>
        <w:t>2021年</w:t>
      </w:r>
      <w:r>
        <w:rPr>
          <w:rFonts w:ascii="宋体" w:hAnsi="宋体"/>
          <w:color w:val="000000"/>
          <w:sz w:val="28"/>
          <w:szCs w:val="28"/>
        </w:rPr>
        <w:t xml:space="preserve"> 4</w:t>
      </w:r>
      <w:r>
        <w:rPr>
          <w:rFonts w:hint="eastAsia" w:ascii="宋体" w:hAnsi="宋体"/>
          <w:color w:val="000000"/>
          <w:sz w:val="28"/>
          <w:szCs w:val="28"/>
        </w:rPr>
        <w:t>月2</w:t>
      </w:r>
      <w:r>
        <w:rPr>
          <w:rFonts w:ascii="宋体" w:hAnsi="宋体"/>
          <w:color w:val="000000"/>
          <w:sz w:val="28"/>
          <w:szCs w:val="28"/>
        </w:rPr>
        <w:t>7日</w:t>
      </w:r>
    </w:p>
    <w:p>
      <w:pPr>
        <w:adjustRightInd w:val="0"/>
        <w:snapToGrid w:val="0"/>
        <w:spacing w:line="360" w:lineRule="auto"/>
        <w:ind w:firstLine="480" w:firstLineChars="200"/>
        <w:jc w:val="right"/>
        <w:rPr>
          <w:rFonts w:ascii="宋体" w:hAnsi="宋体"/>
          <w:color w:val="000000"/>
          <w:sz w:val="24"/>
        </w:rPr>
        <w:sectPr>
          <w:pgSz w:w="11906" w:h="16838"/>
          <w:pgMar w:top="1440" w:right="1797" w:bottom="1440" w:left="1797" w:header="851" w:footer="992" w:gutter="0"/>
          <w:cols w:space="425" w:num="1"/>
          <w:docGrid w:linePitch="312" w:charSpace="0"/>
        </w:sectPr>
      </w:pPr>
    </w:p>
    <w:p>
      <w:pPr>
        <w:adjustRightInd w:val="0"/>
        <w:snapToGrid w:val="0"/>
        <w:spacing w:line="360" w:lineRule="auto"/>
        <w:ind w:firstLine="480" w:firstLineChars="200"/>
        <w:jc w:val="right"/>
        <w:rPr>
          <w:rFonts w:ascii="宋体" w:hAnsi="宋体"/>
          <w:color w:val="000000"/>
          <w:sz w:val="24"/>
        </w:rPr>
      </w:pPr>
    </w:p>
    <w:p>
      <w:pPr>
        <w:widowControl/>
        <w:spacing w:line="440" w:lineRule="exact"/>
        <w:ind w:firstLine="480" w:firstLineChars="200"/>
        <w:jc w:val="left"/>
        <w:rPr>
          <w:rFonts w:ascii="宋体" w:hAnsi="宋体"/>
          <w:color w:val="000000"/>
          <w:sz w:val="24"/>
        </w:rPr>
      </w:pPr>
      <w:r>
        <w:rPr>
          <w:rFonts w:hint="eastAsia" w:ascii="宋体" w:hAnsi="宋体"/>
          <w:color w:val="000000"/>
          <w:sz w:val="24"/>
        </w:rPr>
        <w:t>附表1：</w:t>
      </w:r>
    </w:p>
    <w:p>
      <w:pPr>
        <w:ind w:firstLine="482" w:firstLineChars="200"/>
        <w:jc w:val="center"/>
        <w:rPr>
          <w:rFonts w:ascii="宋体" w:hAnsi="宋体" w:cs="宋体"/>
          <w:b/>
          <w:color w:val="000000"/>
          <w:kern w:val="0"/>
          <w:sz w:val="24"/>
        </w:rPr>
      </w:pPr>
      <w:r>
        <w:rPr>
          <w:rFonts w:hint="eastAsia" w:ascii="宋体" w:hAnsi="宋体" w:cs="宋体"/>
          <w:b/>
          <w:color w:val="000000"/>
          <w:kern w:val="0"/>
          <w:sz w:val="24"/>
        </w:rPr>
        <w:t>募集资金使用情况对照表</w:t>
      </w:r>
    </w:p>
    <w:p>
      <w:pPr>
        <w:ind w:firstLine="480" w:firstLineChars="200"/>
        <w:jc w:val="right"/>
        <w:rPr>
          <w:rFonts w:ascii="宋体" w:hAnsi="宋体"/>
          <w:b/>
          <w:color w:val="000000"/>
          <w:sz w:val="24"/>
        </w:rPr>
      </w:pPr>
      <w:r>
        <w:rPr>
          <w:rFonts w:hint="eastAsia" w:ascii="宋体" w:hAnsi="宋体"/>
          <w:color w:val="000000"/>
          <w:sz w:val="24"/>
        </w:rPr>
        <w:t>　　　　　　　　　　　　　　　　　　　　　　　　　　　单位：人民币 万元</w:t>
      </w:r>
    </w:p>
    <w:tbl>
      <w:tblPr>
        <w:tblStyle w:val="9"/>
        <w:tblW w:w="5342" w:type="pct"/>
        <w:jc w:val="center"/>
        <w:tblLayout w:type="fixed"/>
        <w:tblCellMar>
          <w:top w:w="0" w:type="dxa"/>
          <w:left w:w="108" w:type="dxa"/>
          <w:bottom w:w="0" w:type="dxa"/>
          <w:right w:w="108" w:type="dxa"/>
        </w:tblCellMar>
      </w:tblPr>
      <w:tblGrid>
        <w:gridCol w:w="1695"/>
        <w:gridCol w:w="890"/>
        <w:gridCol w:w="1297"/>
        <w:gridCol w:w="1039"/>
        <w:gridCol w:w="1124"/>
        <w:gridCol w:w="1151"/>
        <w:gridCol w:w="1118"/>
        <w:gridCol w:w="1465"/>
        <w:gridCol w:w="1078"/>
        <w:gridCol w:w="966"/>
        <w:gridCol w:w="1042"/>
        <w:gridCol w:w="1148"/>
        <w:gridCol w:w="1130"/>
      </w:tblGrid>
      <w:tr>
        <w:tblPrEx>
          <w:tblCellMar>
            <w:top w:w="0" w:type="dxa"/>
            <w:left w:w="108" w:type="dxa"/>
            <w:bottom w:w="0" w:type="dxa"/>
            <w:right w:w="108" w:type="dxa"/>
          </w:tblCellMar>
        </w:tblPrEx>
        <w:trPr>
          <w:trHeight w:val="282" w:hRule="atLeast"/>
          <w:jc w:val="center"/>
        </w:trPr>
        <w:tc>
          <w:tcPr>
            <w:tcW w:w="1625" w:type="pct"/>
            <w:gridSpan w:val="4"/>
            <w:tcBorders>
              <w:top w:val="single" w:color="auto" w:sz="8" w:space="0"/>
              <w:left w:val="single" w:color="auto" w:sz="8"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募集资金</w:t>
            </w:r>
            <w:r>
              <w:rPr>
                <w:rFonts w:ascii="宋体" w:hAnsi="宋体"/>
                <w:color w:val="000000"/>
                <w:kern w:val="0"/>
                <w:sz w:val="20"/>
                <w:szCs w:val="20"/>
              </w:rPr>
              <w:t>总额</w:t>
            </w:r>
          </w:p>
        </w:tc>
        <w:tc>
          <w:tcPr>
            <w:tcW w:w="751" w:type="pct"/>
            <w:gridSpan w:val="2"/>
            <w:tcBorders>
              <w:top w:val="single" w:color="auto" w:sz="8" w:space="0"/>
              <w:left w:val="nil"/>
              <w:bottom w:val="single" w:color="auto" w:sz="4" w:space="0"/>
              <w:right w:val="single" w:color="auto" w:sz="4" w:space="0"/>
            </w:tcBorders>
            <w:vAlign w:val="center"/>
          </w:tcPr>
          <w:p>
            <w:pPr>
              <w:widowControl/>
              <w:ind w:left="8" w:leftChars="-66" w:hanging="147" w:hangingChars="70"/>
              <w:jc w:val="right"/>
            </w:pPr>
            <w:r>
              <w:t>41,266.29</w:t>
            </w:r>
            <w:r>
              <w:rPr>
                <w:rFonts w:hint="eastAsia"/>
              </w:rPr>
              <w:t>　</w:t>
            </w:r>
          </w:p>
        </w:tc>
        <w:tc>
          <w:tcPr>
            <w:tcW w:w="1872" w:type="pct"/>
            <w:gridSpan w:val="5"/>
            <w:tcBorders>
              <w:top w:val="single" w:color="auto" w:sz="8" w:space="0"/>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本年度投入募集资金总额</w:t>
            </w:r>
          </w:p>
        </w:tc>
        <w:tc>
          <w:tcPr>
            <w:tcW w:w="752" w:type="pct"/>
            <w:gridSpan w:val="2"/>
            <w:tcBorders>
              <w:top w:val="single" w:color="auto" w:sz="8" w:space="0"/>
              <w:left w:val="nil"/>
              <w:bottom w:val="single" w:color="auto" w:sz="4" w:space="0"/>
              <w:right w:val="single" w:color="000000" w:sz="8" w:space="0"/>
            </w:tcBorders>
            <w:vAlign w:val="center"/>
          </w:tcPr>
          <w:p>
            <w:pPr>
              <w:widowControl/>
              <w:ind w:firstLine="420" w:firstLineChars="200"/>
              <w:jc w:val="right"/>
            </w:pPr>
            <w:r>
              <w:t>18,372.</w:t>
            </w:r>
            <w:r>
              <w:rPr>
                <w:rFonts w:hint="eastAsia"/>
                <w:lang w:val="en-US" w:eastAsia="zh-CN"/>
              </w:rPr>
              <w:t>48</w:t>
            </w:r>
          </w:p>
        </w:tc>
      </w:tr>
      <w:tr>
        <w:tblPrEx>
          <w:tblCellMar>
            <w:top w:w="0" w:type="dxa"/>
            <w:left w:w="108" w:type="dxa"/>
            <w:bottom w:w="0" w:type="dxa"/>
            <w:right w:w="108" w:type="dxa"/>
          </w:tblCellMar>
        </w:tblPrEx>
        <w:trPr>
          <w:trHeight w:val="282" w:hRule="atLeast"/>
          <w:jc w:val="center"/>
        </w:trPr>
        <w:tc>
          <w:tcPr>
            <w:tcW w:w="1625" w:type="pct"/>
            <w:gridSpan w:val="4"/>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变更用途的募集资金总额</w:t>
            </w:r>
          </w:p>
        </w:tc>
        <w:tc>
          <w:tcPr>
            <w:tcW w:w="751" w:type="pct"/>
            <w:gridSpan w:val="2"/>
            <w:tcBorders>
              <w:top w:val="single" w:color="auto" w:sz="4" w:space="0"/>
              <w:left w:val="nil"/>
              <w:bottom w:val="single" w:color="auto" w:sz="4" w:space="0"/>
              <w:right w:val="single" w:color="auto" w:sz="4" w:space="0"/>
            </w:tcBorders>
            <w:vAlign w:val="center"/>
          </w:tcPr>
          <w:p>
            <w:pPr>
              <w:widowControl/>
              <w:ind w:firstLine="400" w:firstLineChars="200"/>
              <w:jc w:val="right"/>
              <w:rPr>
                <w:rFonts w:ascii="宋体" w:hAnsi="宋体"/>
                <w:color w:val="000000"/>
                <w:kern w:val="0"/>
                <w:sz w:val="20"/>
                <w:szCs w:val="20"/>
              </w:rPr>
            </w:pPr>
            <w:r>
              <w:rPr>
                <w:rFonts w:hint="eastAsia" w:ascii="宋体" w:hAnsi="宋体"/>
                <w:color w:val="000000"/>
                <w:kern w:val="0"/>
                <w:sz w:val="20"/>
                <w:szCs w:val="20"/>
              </w:rPr>
              <w:t>　0</w:t>
            </w:r>
            <w:r>
              <w:rPr>
                <w:rFonts w:ascii="宋体" w:hAnsi="宋体"/>
                <w:color w:val="000000"/>
                <w:kern w:val="0"/>
                <w:sz w:val="20"/>
                <w:szCs w:val="20"/>
              </w:rPr>
              <w:t>.00</w:t>
            </w:r>
          </w:p>
        </w:tc>
        <w:tc>
          <w:tcPr>
            <w:tcW w:w="1872" w:type="pct"/>
            <w:gridSpan w:val="5"/>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已累计投入募集资金总额</w:t>
            </w:r>
          </w:p>
        </w:tc>
        <w:tc>
          <w:tcPr>
            <w:tcW w:w="752" w:type="pct"/>
            <w:gridSpan w:val="2"/>
            <w:vMerge w:val="restart"/>
            <w:tcBorders>
              <w:top w:val="single" w:color="auto" w:sz="4" w:space="0"/>
              <w:left w:val="single" w:color="auto" w:sz="4" w:space="0"/>
              <w:bottom w:val="single" w:color="auto" w:sz="4" w:space="0"/>
              <w:right w:val="single" w:color="000000" w:sz="8" w:space="0"/>
            </w:tcBorders>
            <w:vAlign w:val="center"/>
          </w:tcPr>
          <w:p>
            <w:pPr>
              <w:widowControl/>
              <w:ind w:firstLine="420" w:firstLineChars="200"/>
              <w:jc w:val="right"/>
            </w:pPr>
            <w:r>
              <w:t>18,372.</w:t>
            </w:r>
            <w:r>
              <w:rPr>
                <w:rFonts w:hint="eastAsia"/>
                <w:lang w:val="en-US" w:eastAsia="zh-CN"/>
              </w:rPr>
              <w:t>48</w:t>
            </w:r>
          </w:p>
        </w:tc>
      </w:tr>
      <w:tr>
        <w:tblPrEx>
          <w:tblCellMar>
            <w:top w:w="0" w:type="dxa"/>
            <w:left w:w="108" w:type="dxa"/>
            <w:bottom w:w="0" w:type="dxa"/>
            <w:right w:w="108" w:type="dxa"/>
          </w:tblCellMar>
        </w:tblPrEx>
        <w:trPr>
          <w:trHeight w:val="282" w:hRule="atLeast"/>
          <w:jc w:val="center"/>
        </w:trPr>
        <w:tc>
          <w:tcPr>
            <w:tcW w:w="1625" w:type="pct"/>
            <w:gridSpan w:val="4"/>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变更用途的募集资金</w:t>
            </w:r>
          </w:p>
          <w:p>
            <w:pPr>
              <w:widowControl/>
              <w:jc w:val="center"/>
              <w:rPr>
                <w:rFonts w:ascii="宋体" w:hAnsi="宋体"/>
                <w:color w:val="000000"/>
                <w:kern w:val="0"/>
                <w:sz w:val="20"/>
                <w:szCs w:val="20"/>
              </w:rPr>
            </w:pPr>
            <w:r>
              <w:rPr>
                <w:rFonts w:hint="eastAsia" w:ascii="宋体" w:hAnsi="宋体"/>
                <w:color w:val="000000"/>
                <w:kern w:val="0"/>
                <w:sz w:val="20"/>
                <w:szCs w:val="20"/>
              </w:rPr>
              <w:t>总额比例</w:t>
            </w:r>
          </w:p>
        </w:tc>
        <w:tc>
          <w:tcPr>
            <w:tcW w:w="751" w:type="pct"/>
            <w:gridSpan w:val="2"/>
            <w:tcBorders>
              <w:top w:val="single" w:color="auto" w:sz="4" w:space="0"/>
              <w:left w:val="nil"/>
              <w:bottom w:val="single" w:color="auto" w:sz="4" w:space="0"/>
              <w:right w:val="single" w:color="auto" w:sz="4" w:space="0"/>
            </w:tcBorders>
            <w:vAlign w:val="center"/>
          </w:tcPr>
          <w:p>
            <w:pPr>
              <w:widowControl/>
              <w:ind w:firstLine="400" w:firstLineChars="200"/>
              <w:jc w:val="right"/>
              <w:rPr>
                <w:rFonts w:ascii="宋体" w:hAnsi="宋体"/>
                <w:color w:val="000000"/>
                <w:kern w:val="0"/>
                <w:sz w:val="20"/>
                <w:szCs w:val="20"/>
              </w:rPr>
            </w:pPr>
            <w:r>
              <w:rPr>
                <w:rFonts w:hint="eastAsia" w:ascii="宋体" w:hAnsi="宋体"/>
                <w:color w:val="000000"/>
                <w:kern w:val="0"/>
                <w:sz w:val="20"/>
                <w:szCs w:val="20"/>
              </w:rPr>
              <w:t>　0</w:t>
            </w:r>
            <w:r>
              <w:rPr>
                <w:rFonts w:ascii="宋体" w:hAnsi="宋体"/>
                <w:color w:val="000000"/>
                <w:kern w:val="0"/>
                <w:sz w:val="20"/>
                <w:szCs w:val="20"/>
              </w:rPr>
              <w:t>.00%</w:t>
            </w:r>
          </w:p>
        </w:tc>
        <w:tc>
          <w:tcPr>
            <w:tcW w:w="1872" w:type="pct"/>
            <w:gridSpan w:val="5"/>
            <w:vMerge w:val="continue"/>
            <w:tcBorders>
              <w:top w:val="single" w:color="auto" w:sz="4" w:space="0"/>
              <w:left w:val="single" w:color="auto" w:sz="4" w:space="0"/>
              <w:bottom w:val="single" w:color="auto" w:sz="4" w:space="0"/>
              <w:right w:val="single" w:color="auto" w:sz="4" w:space="0"/>
            </w:tcBorders>
            <w:vAlign w:val="center"/>
          </w:tcPr>
          <w:p>
            <w:pPr>
              <w:widowControl/>
              <w:ind w:firstLine="400" w:firstLineChars="200"/>
              <w:jc w:val="left"/>
              <w:rPr>
                <w:rFonts w:ascii="宋体" w:hAnsi="宋体"/>
                <w:color w:val="000000"/>
                <w:kern w:val="0"/>
                <w:sz w:val="20"/>
                <w:szCs w:val="20"/>
              </w:rPr>
            </w:pPr>
          </w:p>
        </w:tc>
        <w:tc>
          <w:tcPr>
            <w:tcW w:w="752" w:type="pct"/>
            <w:gridSpan w:val="2"/>
            <w:vMerge w:val="continue"/>
            <w:tcBorders>
              <w:top w:val="single" w:color="auto" w:sz="4" w:space="0"/>
              <w:left w:val="single" w:color="auto" w:sz="4" w:space="0"/>
              <w:bottom w:val="single" w:color="auto" w:sz="4" w:space="0"/>
              <w:right w:val="single" w:color="000000" w:sz="8" w:space="0"/>
            </w:tcBorders>
            <w:vAlign w:val="center"/>
          </w:tcPr>
          <w:p>
            <w:pPr>
              <w:widowControl/>
              <w:ind w:firstLine="400" w:firstLineChars="200"/>
              <w:jc w:val="left"/>
              <w:rPr>
                <w:rFonts w:ascii="宋体" w:hAnsi="宋体"/>
                <w:color w:val="000000"/>
                <w:kern w:val="0"/>
                <w:sz w:val="20"/>
                <w:szCs w:val="20"/>
              </w:rPr>
            </w:pPr>
          </w:p>
        </w:tc>
      </w:tr>
      <w:tr>
        <w:tblPrEx>
          <w:tblCellMar>
            <w:top w:w="0" w:type="dxa"/>
            <w:left w:w="108" w:type="dxa"/>
            <w:bottom w:w="0" w:type="dxa"/>
            <w:right w:w="108" w:type="dxa"/>
          </w:tblCellMar>
        </w:tblPrEx>
        <w:trPr>
          <w:trHeight w:val="1400" w:hRule="atLeast"/>
          <w:jc w:val="center"/>
        </w:trPr>
        <w:tc>
          <w:tcPr>
            <w:tcW w:w="560" w:type="pct"/>
            <w:tcBorders>
              <w:top w:val="nil"/>
              <w:left w:val="single" w:color="auto" w:sz="8" w:space="0"/>
              <w:bottom w:val="nil"/>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承诺投资项目</w:t>
            </w:r>
          </w:p>
        </w:tc>
        <w:tc>
          <w:tcPr>
            <w:tcW w:w="294" w:type="pct"/>
            <w:tcBorders>
              <w:top w:val="nil"/>
              <w:left w:val="nil"/>
              <w:bottom w:val="nil"/>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已变更项目，含部分变更（如有）</w:t>
            </w:r>
          </w:p>
        </w:tc>
        <w:tc>
          <w:tcPr>
            <w:tcW w:w="428" w:type="pct"/>
            <w:tcBorders>
              <w:top w:val="nil"/>
              <w:left w:val="nil"/>
              <w:bottom w:val="nil"/>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募集资金承诺投资总额</w:t>
            </w:r>
          </w:p>
        </w:tc>
        <w:tc>
          <w:tcPr>
            <w:tcW w:w="343" w:type="pct"/>
            <w:tcBorders>
              <w:top w:val="nil"/>
              <w:left w:val="nil"/>
              <w:bottom w:val="nil"/>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调整后投资总额</w:t>
            </w:r>
          </w:p>
        </w:tc>
        <w:tc>
          <w:tcPr>
            <w:tcW w:w="371" w:type="pct"/>
            <w:tcBorders>
              <w:top w:val="nil"/>
              <w:left w:val="nil"/>
              <w:bottom w:val="nil"/>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截至期末承诺投入金额(1)</w:t>
            </w:r>
          </w:p>
        </w:tc>
        <w:tc>
          <w:tcPr>
            <w:tcW w:w="380" w:type="pct"/>
            <w:tcBorders>
              <w:top w:val="nil"/>
              <w:left w:val="nil"/>
              <w:bottom w:val="nil"/>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本年度投入金额</w:t>
            </w:r>
          </w:p>
        </w:tc>
        <w:tc>
          <w:tcPr>
            <w:tcW w:w="369" w:type="pct"/>
            <w:tcBorders>
              <w:top w:val="nil"/>
              <w:left w:val="nil"/>
              <w:bottom w:val="nil"/>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截至期末累计投入金额(2)</w:t>
            </w:r>
          </w:p>
        </w:tc>
        <w:tc>
          <w:tcPr>
            <w:tcW w:w="484" w:type="pct"/>
            <w:tcBorders>
              <w:top w:val="nil"/>
              <w:left w:val="nil"/>
              <w:bottom w:val="nil"/>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截至期末累计投入金额与承诺投入金额的差额(3)＝(2)-(1)</w:t>
            </w:r>
          </w:p>
        </w:tc>
        <w:tc>
          <w:tcPr>
            <w:tcW w:w="356" w:type="pct"/>
            <w:tcBorders>
              <w:top w:val="nil"/>
              <w:left w:val="nil"/>
              <w:bottom w:val="nil"/>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截至期末投入进度（%）(4)＝(2)/(1)</w:t>
            </w:r>
          </w:p>
        </w:tc>
        <w:tc>
          <w:tcPr>
            <w:tcW w:w="319" w:type="pct"/>
            <w:tcBorders>
              <w:top w:val="nil"/>
              <w:left w:val="nil"/>
              <w:bottom w:val="nil"/>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项目达到预定可使用状态日期</w:t>
            </w:r>
          </w:p>
        </w:tc>
        <w:tc>
          <w:tcPr>
            <w:tcW w:w="344" w:type="pct"/>
            <w:tcBorders>
              <w:top w:val="nil"/>
              <w:left w:val="nil"/>
              <w:bottom w:val="nil"/>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本年度实现的效益</w:t>
            </w:r>
          </w:p>
        </w:tc>
        <w:tc>
          <w:tcPr>
            <w:tcW w:w="379" w:type="pct"/>
            <w:tcBorders>
              <w:top w:val="nil"/>
              <w:left w:val="nil"/>
              <w:bottom w:val="nil"/>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是否达到预计效益</w:t>
            </w:r>
          </w:p>
        </w:tc>
        <w:tc>
          <w:tcPr>
            <w:tcW w:w="373" w:type="pct"/>
            <w:tcBorders>
              <w:top w:val="nil"/>
              <w:left w:val="nil"/>
              <w:bottom w:val="nil"/>
              <w:right w:val="single" w:color="auto" w:sz="8"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项目可行性是否发生重大变化</w:t>
            </w:r>
          </w:p>
        </w:tc>
      </w:tr>
      <w:tr>
        <w:tblPrEx>
          <w:tblCellMar>
            <w:top w:w="0" w:type="dxa"/>
            <w:left w:w="108" w:type="dxa"/>
            <w:bottom w:w="0" w:type="dxa"/>
            <w:right w:w="108" w:type="dxa"/>
          </w:tblCellMar>
        </w:tblPrEx>
        <w:trPr>
          <w:trHeight w:val="282" w:hRule="atLeast"/>
          <w:jc w:val="center"/>
        </w:trPr>
        <w:tc>
          <w:tcPr>
            <w:tcW w:w="560" w:type="pct"/>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olor w:val="000000"/>
                <w:kern w:val="0"/>
                <w:sz w:val="20"/>
                <w:szCs w:val="20"/>
              </w:rPr>
            </w:pPr>
            <w:r>
              <w:rPr>
                <w:rFonts w:hint="eastAsia"/>
                <w:sz w:val="20"/>
                <w:szCs w:val="20"/>
              </w:rPr>
              <w:t xml:space="preserve">研发总部项目 </w:t>
            </w:r>
          </w:p>
        </w:tc>
        <w:tc>
          <w:tcPr>
            <w:tcW w:w="294" w:type="pct"/>
            <w:tcBorders>
              <w:top w:val="single" w:color="auto" w:sz="4" w:space="0"/>
              <w:left w:val="nil"/>
              <w:bottom w:val="single" w:color="auto" w:sz="4" w:space="0"/>
              <w:right w:val="single" w:color="auto" w:sz="4" w:space="0"/>
            </w:tcBorders>
            <w:vAlign w:val="center"/>
          </w:tcPr>
          <w:p>
            <w:pPr>
              <w:widowControl/>
              <w:ind w:firstLine="110" w:firstLineChars="55"/>
              <w:jc w:val="center"/>
              <w:rPr>
                <w:rFonts w:ascii="宋体" w:hAnsi="宋体"/>
                <w:color w:val="000000"/>
                <w:kern w:val="0"/>
                <w:sz w:val="20"/>
                <w:szCs w:val="20"/>
              </w:rPr>
            </w:pPr>
            <w:r>
              <w:rPr>
                <w:rFonts w:hint="eastAsia" w:ascii="宋体" w:hAnsi="宋体"/>
                <w:color w:val="000000"/>
                <w:kern w:val="0"/>
                <w:sz w:val="20"/>
                <w:szCs w:val="20"/>
              </w:rPr>
              <w:t>无</w:t>
            </w:r>
          </w:p>
        </w:tc>
        <w:tc>
          <w:tcPr>
            <w:tcW w:w="428" w:type="pct"/>
            <w:tcBorders>
              <w:top w:val="single" w:color="auto" w:sz="4" w:space="0"/>
              <w:left w:val="nil"/>
              <w:bottom w:val="single" w:color="auto" w:sz="4" w:space="0"/>
              <w:right w:val="single" w:color="auto" w:sz="4" w:space="0"/>
            </w:tcBorders>
            <w:vAlign w:val="center"/>
          </w:tcPr>
          <w:p>
            <w:pPr>
              <w:widowControl/>
              <w:ind w:left="8" w:leftChars="-66" w:hanging="147" w:hangingChars="70"/>
              <w:jc w:val="right"/>
            </w:pPr>
            <w:r>
              <w:t xml:space="preserve"> 6,653.88 </w:t>
            </w:r>
          </w:p>
        </w:tc>
        <w:tc>
          <w:tcPr>
            <w:tcW w:w="343" w:type="pct"/>
            <w:tcBorders>
              <w:top w:val="single" w:color="auto" w:sz="4" w:space="0"/>
              <w:left w:val="nil"/>
              <w:bottom w:val="single" w:color="auto" w:sz="4" w:space="0"/>
              <w:right w:val="single" w:color="auto" w:sz="4" w:space="0"/>
            </w:tcBorders>
            <w:vAlign w:val="center"/>
          </w:tcPr>
          <w:p>
            <w:pPr>
              <w:widowControl/>
              <w:ind w:left="8" w:leftChars="-66" w:hanging="147" w:hangingChars="70"/>
              <w:jc w:val="right"/>
            </w:pPr>
            <w:r>
              <w:t xml:space="preserve"> 6,653.88 </w:t>
            </w:r>
          </w:p>
        </w:tc>
        <w:tc>
          <w:tcPr>
            <w:tcW w:w="371" w:type="pct"/>
            <w:tcBorders>
              <w:top w:val="single" w:color="auto" w:sz="4" w:space="0"/>
              <w:left w:val="nil"/>
              <w:bottom w:val="single" w:color="auto" w:sz="4" w:space="0"/>
              <w:right w:val="single" w:color="auto" w:sz="4" w:space="0"/>
            </w:tcBorders>
            <w:vAlign w:val="center"/>
          </w:tcPr>
          <w:p>
            <w:pPr>
              <w:widowControl/>
              <w:ind w:left="8" w:leftChars="-66" w:hanging="147" w:hangingChars="70"/>
              <w:jc w:val="right"/>
            </w:pPr>
            <w:r>
              <w:t xml:space="preserve"> 6,653.88 </w:t>
            </w:r>
          </w:p>
        </w:tc>
        <w:tc>
          <w:tcPr>
            <w:tcW w:w="380" w:type="pct"/>
            <w:tcBorders>
              <w:top w:val="single" w:color="auto" w:sz="4" w:space="0"/>
              <w:left w:val="nil"/>
              <w:bottom w:val="single" w:color="auto" w:sz="4" w:space="0"/>
              <w:right w:val="single" w:color="auto" w:sz="4" w:space="0"/>
            </w:tcBorders>
            <w:vAlign w:val="center"/>
          </w:tcPr>
          <w:p>
            <w:pPr>
              <w:widowControl/>
              <w:ind w:left="8" w:leftChars="-66" w:hanging="147" w:hangingChars="70"/>
              <w:jc w:val="right"/>
            </w:pPr>
            <w:r>
              <w:t>3,255.52</w:t>
            </w:r>
          </w:p>
        </w:tc>
        <w:tc>
          <w:tcPr>
            <w:tcW w:w="369" w:type="pct"/>
            <w:tcBorders>
              <w:top w:val="single" w:color="auto" w:sz="4" w:space="0"/>
              <w:left w:val="nil"/>
              <w:bottom w:val="single" w:color="auto" w:sz="4" w:space="0"/>
              <w:right w:val="single" w:color="auto" w:sz="4" w:space="0"/>
            </w:tcBorders>
            <w:vAlign w:val="center"/>
          </w:tcPr>
          <w:p>
            <w:pPr>
              <w:widowControl/>
              <w:ind w:left="8" w:leftChars="-66" w:hanging="147" w:hangingChars="70"/>
              <w:jc w:val="right"/>
            </w:pPr>
            <w:r>
              <w:t>3,255.52</w:t>
            </w:r>
          </w:p>
        </w:tc>
        <w:tc>
          <w:tcPr>
            <w:tcW w:w="484" w:type="pct"/>
            <w:tcBorders>
              <w:top w:val="single" w:color="auto" w:sz="4" w:space="0"/>
              <w:left w:val="nil"/>
              <w:bottom w:val="single" w:color="auto" w:sz="4" w:space="0"/>
              <w:right w:val="single" w:color="auto" w:sz="4" w:space="0"/>
            </w:tcBorders>
            <w:vAlign w:val="center"/>
          </w:tcPr>
          <w:p>
            <w:pPr>
              <w:widowControl/>
              <w:ind w:left="8" w:leftChars="-66" w:hanging="147" w:hangingChars="70"/>
              <w:jc w:val="right"/>
            </w:pPr>
            <w:r>
              <w:t xml:space="preserve">  -3,398.36  </w:t>
            </w:r>
          </w:p>
        </w:tc>
        <w:tc>
          <w:tcPr>
            <w:tcW w:w="356" w:type="pct"/>
            <w:tcBorders>
              <w:top w:val="single" w:color="auto" w:sz="4" w:space="0"/>
              <w:left w:val="nil"/>
              <w:bottom w:val="single" w:color="auto" w:sz="4" w:space="0"/>
              <w:right w:val="single" w:color="auto" w:sz="4" w:space="0"/>
            </w:tcBorders>
            <w:vAlign w:val="center"/>
          </w:tcPr>
          <w:p>
            <w:pPr>
              <w:widowControl/>
              <w:ind w:left="8" w:leftChars="-66" w:hanging="147" w:hangingChars="70"/>
              <w:jc w:val="right"/>
            </w:pPr>
            <w:r>
              <w:t xml:space="preserve"> 48.93 </w:t>
            </w:r>
          </w:p>
        </w:tc>
        <w:tc>
          <w:tcPr>
            <w:tcW w:w="319" w:type="pct"/>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olor w:val="FF0000"/>
                <w:kern w:val="0"/>
                <w:sz w:val="20"/>
                <w:szCs w:val="20"/>
              </w:rPr>
            </w:pPr>
            <w:r>
              <w:rPr>
                <w:sz w:val="20"/>
                <w:szCs w:val="20"/>
              </w:rPr>
              <w:t>2021</w:t>
            </w:r>
            <w:r>
              <w:rPr>
                <w:rFonts w:hint="eastAsia"/>
                <w:sz w:val="20"/>
                <w:szCs w:val="20"/>
              </w:rPr>
              <w:t>年</w:t>
            </w:r>
          </w:p>
        </w:tc>
        <w:tc>
          <w:tcPr>
            <w:tcW w:w="344" w:type="pct"/>
            <w:tcBorders>
              <w:top w:val="single" w:color="auto" w:sz="4" w:space="0"/>
              <w:left w:val="nil"/>
              <w:bottom w:val="single" w:color="auto" w:sz="4" w:space="0"/>
              <w:right w:val="single" w:color="auto" w:sz="4" w:space="0"/>
            </w:tcBorders>
            <w:vAlign w:val="center"/>
          </w:tcPr>
          <w:p>
            <w:pPr>
              <w:widowControl/>
              <w:ind w:firstLine="110" w:firstLineChars="55"/>
              <w:jc w:val="center"/>
              <w:rPr>
                <w:rFonts w:ascii="宋体" w:hAnsi="宋体"/>
                <w:color w:val="000000"/>
                <w:kern w:val="0"/>
                <w:sz w:val="20"/>
                <w:szCs w:val="20"/>
              </w:rPr>
            </w:pPr>
            <w:r>
              <w:rPr>
                <w:rFonts w:hint="eastAsia" w:ascii="宋体" w:hAnsi="宋体"/>
                <w:color w:val="000000"/>
                <w:kern w:val="0"/>
                <w:sz w:val="20"/>
                <w:szCs w:val="20"/>
              </w:rPr>
              <w:t>不适用</w:t>
            </w:r>
          </w:p>
        </w:tc>
        <w:tc>
          <w:tcPr>
            <w:tcW w:w="379" w:type="pct"/>
            <w:tcBorders>
              <w:top w:val="single" w:color="auto" w:sz="4" w:space="0"/>
              <w:left w:val="nil"/>
              <w:bottom w:val="single" w:color="auto" w:sz="4" w:space="0"/>
              <w:right w:val="single" w:color="auto" w:sz="4" w:space="0"/>
            </w:tcBorders>
            <w:vAlign w:val="center"/>
          </w:tcPr>
          <w:p>
            <w:pPr>
              <w:widowControl/>
              <w:ind w:firstLine="110" w:firstLineChars="55"/>
              <w:jc w:val="center"/>
              <w:rPr>
                <w:rFonts w:ascii="宋体" w:hAnsi="宋体"/>
                <w:color w:val="000000"/>
                <w:kern w:val="0"/>
                <w:sz w:val="20"/>
                <w:szCs w:val="20"/>
              </w:rPr>
            </w:pPr>
            <w:r>
              <w:rPr>
                <w:rFonts w:hint="eastAsia" w:ascii="宋体" w:hAnsi="宋体"/>
                <w:color w:val="000000"/>
                <w:kern w:val="0"/>
                <w:sz w:val="20"/>
                <w:szCs w:val="20"/>
              </w:rPr>
              <w:t>不适用</w:t>
            </w:r>
          </w:p>
        </w:tc>
        <w:tc>
          <w:tcPr>
            <w:tcW w:w="373" w:type="pct"/>
            <w:tcBorders>
              <w:top w:val="single" w:color="auto" w:sz="4" w:space="0"/>
              <w:left w:val="nil"/>
              <w:bottom w:val="single" w:color="auto" w:sz="4" w:space="0"/>
              <w:right w:val="single" w:color="auto" w:sz="8" w:space="0"/>
            </w:tcBorders>
            <w:vAlign w:val="center"/>
          </w:tcPr>
          <w:p>
            <w:pPr>
              <w:widowControl/>
              <w:ind w:firstLine="110" w:firstLineChars="55"/>
              <w:jc w:val="center"/>
              <w:rPr>
                <w:rFonts w:ascii="宋体" w:hAnsi="宋体"/>
                <w:color w:val="000000"/>
                <w:kern w:val="0"/>
                <w:sz w:val="20"/>
                <w:szCs w:val="20"/>
              </w:rPr>
            </w:pPr>
            <w:r>
              <w:rPr>
                <w:rFonts w:hint="eastAsia" w:ascii="宋体" w:hAnsi="宋体"/>
                <w:color w:val="000000"/>
                <w:kern w:val="0"/>
                <w:sz w:val="20"/>
                <w:szCs w:val="20"/>
              </w:rPr>
              <w:t>否</w:t>
            </w:r>
          </w:p>
        </w:tc>
      </w:tr>
      <w:tr>
        <w:tblPrEx>
          <w:tblCellMar>
            <w:top w:w="0" w:type="dxa"/>
            <w:left w:w="108" w:type="dxa"/>
            <w:bottom w:w="0" w:type="dxa"/>
            <w:right w:w="108" w:type="dxa"/>
          </w:tblCellMar>
        </w:tblPrEx>
        <w:trPr>
          <w:trHeight w:val="282" w:hRule="atLeast"/>
          <w:jc w:val="center"/>
        </w:trPr>
        <w:tc>
          <w:tcPr>
            <w:tcW w:w="560" w:type="pct"/>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olor w:val="000000"/>
                <w:kern w:val="0"/>
                <w:sz w:val="20"/>
                <w:szCs w:val="20"/>
              </w:rPr>
            </w:pPr>
            <w:r>
              <w:rPr>
                <w:rFonts w:hint="eastAsia"/>
                <w:sz w:val="20"/>
                <w:szCs w:val="20"/>
              </w:rPr>
              <w:t xml:space="preserve">4G 及 NB 无线通信模块和解决方案研发及产业化项目 </w:t>
            </w:r>
          </w:p>
        </w:tc>
        <w:tc>
          <w:tcPr>
            <w:tcW w:w="294" w:type="pct"/>
            <w:tcBorders>
              <w:top w:val="single" w:color="auto" w:sz="4" w:space="0"/>
              <w:left w:val="nil"/>
              <w:bottom w:val="single" w:color="auto" w:sz="4" w:space="0"/>
              <w:right w:val="single" w:color="auto" w:sz="4" w:space="0"/>
            </w:tcBorders>
            <w:vAlign w:val="center"/>
          </w:tcPr>
          <w:p>
            <w:pPr>
              <w:widowControl/>
              <w:ind w:firstLine="110" w:firstLineChars="55"/>
              <w:jc w:val="center"/>
              <w:rPr>
                <w:rFonts w:ascii="宋体" w:hAnsi="宋体"/>
                <w:color w:val="000000"/>
                <w:kern w:val="0"/>
                <w:sz w:val="20"/>
                <w:szCs w:val="20"/>
              </w:rPr>
            </w:pPr>
            <w:r>
              <w:rPr>
                <w:rFonts w:hint="eastAsia" w:ascii="宋体" w:hAnsi="宋体"/>
                <w:color w:val="000000"/>
                <w:kern w:val="0"/>
                <w:sz w:val="20"/>
                <w:szCs w:val="20"/>
              </w:rPr>
              <w:t>无</w:t>
            </w:r>
          </w:p>
        </w:tc>
        <w:tc>
          <w:tcPr>
            <w:tcW w:w="428" w:type="pct"/>
            <w:tcBorders>
              <w:top w:val="single" w:color="auto" w:sz="4" w:space="0"/>
              <w:left w:val="nil"/>
              <w:bottom w:val="single" w:color="auto" w:sz="4" w:space="0"/>
              <w:right w:val="single" w:color="auto" w:sz="4" w:space="0"/>
            </w:tcBorders>
            <w:vAlign w:val="center"/>
          </w:tcPr>
          <w:p>
            <w:pPr>
              <w:widowControl/>
              <w:ind w:left="8" w:leftChars="-66" w:hanging="147" w:hangingChars="70"/>
              <w:jc w:val="right"/>
            </w:pPr>
            <w:r>
              <w:t>8,547.53</w:t>
            </w:r>
          </w:p>
        </w:tc>
        <w:tc>
          <w:tcPr>
            <w:tcW w:w="343" w:type="pct"/>
            <w:tcBorders>
              <w:top w:val="single" w:color="auto" w:sz="4" w:space="0"/>
              <w:left w:val="nil"/>
              <w:bottom w:val="single" w:color="auto" w:sz="4" w:space="0"/>
              <w:right w:val="single" w:color="auto" w:sz="4" w:space="0"/>
            </w:tcBorders>
            <w:vAlign w:val="center"/>
          </w:tcPr>
          <w:p>
            <w:pPr>
              <w:widowControl/>
              <w:ind w:left="8" w:leftChars="-66" w:hanging="147" w:hangingChars="70"/>
              <w:jc w:val="right"/>
            </w:pPr>
            <w:r>
              <w:t xml:space="preserve"> 5,394.90 </w:t>
            </w:r>
          </w:p>
        </w:tc>
        <w:tc>
          <w:tcPr>
            <w:tcW w:w="371" w:type="pct"/>
            <w:tcBorders>
              <w:top w:val="single" w:color="auto" w:sz="4" w:space="0"/>
              <w:left w:val="nil"/>
              <w:bottom w:val="single" w:color="auto" w:sz="4" w:space="0"/>
              <w:right w:val="single" w:color="auto" w:sz="4" w:space="0"/>
            </w:tcBorders>
            <w:vAlign w:val="center"/>
          </w:tcPr>
          <w:p>
            <w:pPr>
              <w:widowControl/>
              <w:ind w:left="8" w:leftChars="-66" w:hanging="147" w:hangingChars="70"/>
              <w:jc w:val="right"/>
            </w:pPr>
            <w:r>
              <w:t xml:space="preserve"> 5,394.90 </w:t>
            </w:r>
          </w:p>
        </w:tc>
        <w:tc>
          <w:tcPr>
            <w:tcW w:w="380" w:type="pct"/>
            <w:tcBorders>
              <w:top w:val="single" w:color="auto" w:sz="4" w:space="0"/>
              <w:left w:val="nil"/>
              <w:bottom w:val="single" w:color="auto" w:sz="4" w:space="0"/>
              <w:right w:val="single" w:color="auto" w:sz="4" w:space="0"/>
            </w:tcBorders>
            <w:vAlign w:val="center"/>
          </w:tcPr>
          <w:p>
            <w:pPr>
              <w:widowControl/>
              <w:ind w:left="8" w:leftChars="-66" w:hanging="147" w:hangingChars="70"/>
              <w:jc w:val="right"/>
            </w:pPr>
            <w:r>
              <w:t>1,491.61</w:t>
            </w:r>
          </w:p>
        </w:tc>
        <w:tc>
          <w:tcPr>
            <w:tcW w:w="369" w:type="pct"/>
            <w:tcBorders>
              <w:top w:val="single" w:color="auto" w:sz="4" w:space="0"/>
              <w:left w:val="nil"/>
              <w:bottom w:val="single" w:color="auto" w:sz="4" w:space="0"/>
              <w:right w:val="single" w:color="auto" w:sz="4" w:space="0"/>
            </w:tcBorders>
            <w:vAlign w:val="center"/>
          </w:tcPr>
          <w:p>
            <w:pPr>
              <w:widowControl/>
              <w:ind w:left="8" w:leftChars="-66" w:hanging="147" w:hangingChars="70"/>
              <w:jc w:val="right"/>
            </w:pPr>
            <w:r>
              <w:t>1,491.61</w:t>
            </w:r>
          </w:p>
        </w:tc>
        <w:tc>
          <w:tcPr>
            <w:tcW w:w="484" w:type="pct"/>
            <w:tcBorders>
              <w:top w:val="single" w:color="auto" w:sz="4" w:space="0"/>
              <w:left w:val="nil"/>
              <w:bottom w:val="single" w:color="auto" w:sz="4" w:space="0"/>
              <w:right w:val="single" w:color="auto" w:sz="4" w:space="0"/>
            </w:tcBorders>
            <w:vAlign w:val="center"/>
          </w:tcPr>
          <w:p>
            <w:pPr>
              <w:widowControl/>
              <w:ind w:left="8" w:leftChars="-66" w:hanging="147" w:hangingChars="70"/>
              <w:jc w:val="right"/>
            </w:pPr>
            <w:r>
              <w:t xml:space="preserve">  -3,903.29  </w:t>
            </w:r>
          </w:p>
        </w:tc>
        <w:tc>
          <w:tcPr>
            <w:tcW w:w="356" w:type="pct"/>
            <w:tcBorders>
              <w:top w:val="single" w:color="auto" w:sz="4" w:space="0"/>
              <w:left w:val="nil"/>
              <w:bottom w:val="single" w:color="auto" w:sz="4" w:space="0"/>
              <w:right w:val="single" w:color="auto" w:sz="4" w:space="0"/>
            </w:tcBorders>
            <w:vAlign w:val="center"/>
          </w:tcPr>
          <w:p>
            <w:pPr>
              <w:widowControl/>
              <w:ind w:left="8" w:leftChars="-66" w:hanging="147" w:hangingChars="70"/>
              <w:jc w:val="right"/>
            </w:pPr>
            <w:r>
              <w:t xml:space="preserve">27.65 </w:t>
            </w:r>
          </w:p>
        </w:tc>
        <w:tc>
          <w:tcPr>
            <w:tcW w:w="319" w:type="pct"/>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olor w:val="FF0000"/>
                <w:kern w:val="0"/>
                <w:sz w:val="20"/>
                <w:szCs w:val="20"/>
              </w:rPr>
            </w:pPr>
            <w:r>
              <w:rPr>
                <w:color w:val="000000"/>
                <w:kern w:val="0"/>
                <w:sz w:val="20"/>
                <w:szCs w:val="20"/>
              </w:rPr>
              <w:t>2023年</w:t>
            </w:r>
          </w:p>
        </w:tc>
        <w:tc>
          <w:tcPr>
            <w:tcW w:w="344" w:type="pct"/>
            <w:tcBorders>
              <w:top w:val="single" w:color="auto" w:sz="4" w:space="0"/>
              <w:left w:val="nil"/>
              <w:bottom w:val="single" w:color="auto" w:sz="4" w:space="0"/>
              <w:right w:val="single" w:color="auto" w:sz="4" w:space="0"/>
            </w:tcBorders>
            <w:vAlign w:val="center"/>
          </w:tcPr>
          <w:p>
            <w:pPr>
              <w:widowControl/>
              <w:ind w:firstLine="110" w:firstLineChars="55"/>
              <w:jc w:val="center"/>
              <w:rPr>
                <w:rFonts w:ascii="宋体" w:hAnsi="宋体"/>
                <w:color w:val="000000"/>
                <w:kern w:val="0"/>
                <w:sz w:val="20"/>
                <w:szCs w:val="20"/>
              </w:rPr>
            </w:pPr>
            <w:r>
              <w:rPr>
                <w:rFonts w:hint="eastAsia" w:ascii="宋体" w:hAnsi="宋体"/>
                <w:color w:val="000000"/>
                <w:kern w:val="0"/>
                <w:sz w:val="20"/>
                <w:szCs w:val="20"/>
              </w:rPr>
              <w:t>不适用</w:t>
            </w:r>
          </w:p>
        </w:tc>
        <w:tc>
          <w:tcPr>
            <w:tcW w:w="379" w:type="pct"/>
            <w:tcBorders>
              <w:top w:val="single" w:color="auto" w:sz="4" w:space="0"/>
              <w:left w:val="nil"/>
              <w:bottom w:val="single" w:color="auto" w:sz="4" w:space="0"/>
              <w:right w:val="single" w:color="auto" w:sz="4" w:space="0"/>
            </w:tcBorders>
            <w:vAlign w:val="center"/>
          </w:tcPr>
          <w:p>
            <w:pPr>
              <w:widowControl/>
              <w:ind w:firstLine="110" w:firstLineChars="55"/>
              <w:jc w:val="center"/>
              <w:rPr>
                <w:rFonts w:ascii="宋体" w:hAnsi="宋体"/>
                <w:color w:val="000000"/>
                <w:kern w:val="0"/>
                <w:sz w:val="20"/>
                <w:szCs w:val="20"/>
              </w:rPr>
            </w:pPr>
            <w:r>
              <w:rPr>
                <w:rFonts w:hint="eastAsia" w:ascii="宋体" w:hAnsi="宋体"/>
                <w:color w:val="000000"/>
                <w:kern w:val="0"/>
                <w:sz w:val="20"/>
                <w:szCs w:val="20"/>
              </w:rPr>
              <w:t>不适用</w:t>
            </w:r>
          </w:p>
        </w:tc>
        <w:tc>
          <w:tcPr>
            <w:tcW w:w="373" w:type="pct"/>
            <w:tcBorders>
              <w:top w:val="single" w:color="auto" w:sz="4" w:space="0"/>
              <w:left w:val="nil"/>
              <w:bottom w:val="single" w:color="auto" w:sz="4" w:space="0"/>
              <w:right w:val="single" w:color="auto" w:sz="8" w:space="0"/>
            </w:tcBorders>
            <w:vAlign w:val="center"/>
          </w:tcPr>
          <w:p>
            <w:pPr>
              <w:widowControl/>
              <w:ind w:firstLine="110" w:firstLineChars="55"/>
              <w:jc w:val="center"/>
              <w:rPr>
                <w:rFonts w:ascii="宋体" w:hAnsi="宋体"/>
                <w:color w:val="000000"/>
                <w:kern w:val="0"/>
                <w:sz w:val="20"/>
                <w:szCs w:val="20"/>
              </w:rPr>
            </w:pPr>
            <w:r>
              <w:rPr>
                <w:rFonts w:hint="eastAsia" w:ascii="宋体" w:hAnsi="宋体"/>
                <w:color w:val="000000"/>
                <w:kern w:val="0"/>
                <w:sz w:val="20"/>
                <w:szCs w:val="20"/>
              </w:rPr>
              <w:t>否</w:t>
            </w:r>
          </w:p>
        </w:tc>
      </w:tr>
      <w:tr>
        <w:tblPrEx>
          <w:tblCellMar>
            <w:top w:w="0" w:type="dxa"/>
            <w:left w:w="108" w:type="dxa"/>
            <w:bottom w:w="0" w:type="dxa"/>
            <w:right w:w="108" w:type="dxa"/>
          </w:tblCellMar>
        </w:tblPrEx>
        <w:trPr>
          <w:trHeight w:val="282" w:hRule="atLeast"/>
          <w:jc w:val="center"/>
        </w:trPr>
        <w:tc>
          <w:tcPr>
            <w:tcW w:w="560" w:type="pct"/>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olor w:val="000000"/>
                <w:kern w:val="0"/>
                <w:sz w:val="20"/>
                <w:szCs w:val="20"/>
              </w:rPr>
            </w:pPr>
            <w:r>
              <w:rPr>
                <w:rFonts w:hint="eastAsia"/>
                <w:sz w:val="20"/>
                <w:szCs w:val="20"/>
              </w:rPr>
              <w:t xml:space="preserve">5G 无线通信模块和解决方案研发及产业化项目 </w:t>
            </w:r>
          </w:p>
        </w:tc>
        <w:tc>
          <w:tcPr>
            <w:tcW w:w="294" w:type="pct"/>
            <w:tcBorders>
              <w:top w:val="single" w:color="auto" w:sz="4" w:space="0"/>
              <w:left w:val="nil"/>
              <w:bottom w:val="single" w:color="auto" w:sz="4" w:space="0"/>
              <w:right w:val="single" w:color="auto" w:sz="4" w:space="0"/>
            </w:tcBorders>
            <w:vAlign w:val="center"/>
          </w:tcPr>
          <w:p>
            <w:pPr>
              <w:widowControl/>
              <w:ind w:firstLine="110" w:firstLineChars="55"/>
              <w:jc w:val="center"/>
              <w:rPr>
                <w:rFonts w:ascii="宋体" w:hAnsi="宋体"/>
                <w:color w:val="000000"/>
                <w:kern w:val="0"/>
                <w:sz w:val="20"/>
                <w:szCs w:val="20"/>
              </w:rPr>
            </w:pPr>
            <w:r>
              <w:rPr>
                <w:rFonts w:hint="eastAsia" w:ascii="宋体" w:hAnsi="宋体"/>
                <w:color w:val="000000"/>
                <w:kern w:val="0"/>
                <w:sz w:val="20"/>
                <w:szCs w:val="20"/>
              </w:rPr>
              <w:t>无</w:t>
            </w:r>
          </w:p>
        </w:tc>
        <w:tc>
          <w:tcPr>
            <w:tcW w:w="428" w:type="pct"/>
            <w:tcBorders>
              <w:top w:val="single" w:color="auto" w:sz="4" w:space="0"/>
              <w:left w:val="nil"/>
              <w:bottom w:val="single" w:color="auto" w:sz="4" w:space="0"/>
              <w:right w:val="single" w:color="auto" w:sz="4" w:space="0"/>
            </w:tcBorders>
            <w:vAlign w:val="center"/>
          </w:tcPr>
          <w:p>
            <w:pPr>
              <w:widowControl/>
              <w:ind w:left="8" w:leftChars="-66" w:hanging="147" w:hangingChars="70"/>
              <w:jc w:val="right"/>
            </w:pPr>
            <w:r>
              <w:t>22,210.51</w:t>
            </w:r>
          </w:p>
        </w:tc>
        <w:tc>
          <w:tcPr>
            <w:tcW w:w="343" w:type="pct"/>
            <w:tcBorders>
              <w:top w:val="single" w:color="auto" w:sz="4" w:space="0"/>
              <w:left w:val="nil"/>
              <w:bottom w:val="single" w:color="auto" w:sz="4" w:space="0"/>
              <w:right w:val="single" w:color="auto" w:sz="4" w:space="0"/>
            </w:tcBorders>
            <w:vAlign w:val="center"/>
          </w:tcPr>
          <w:p>
            <w:pPr>
              <w:widowControl/>
              <w:ind w:left="8" w:leftChars="-66" w:hanging="147" w:hangingChars="70"/>
              <w:jc w:val="right"/>
            </w:pPr>
            <w:r>
              <w:t xml:space="preserve">14,018.48 </w:t>
            </w:r>
          </w:p>
        </w:tc>
        <w:tc>
          <w:tcPr>
            <w:tcW w:w="371" w:type="pct"/>
            <w:tcBorders>
              <w:top w:val="single" w:color="auto" w:sz="4" w:space="0"/>
              <w:left w:val="nil"/>
              <w:bottom w:val="single" w:color="auto" w:sz="4" w:space="0"/>
              <w:right w:val="single" w:color="auto" w:sz="4" w:space="0"/>
            </w:tcBorders>
            <w:vAlign w:val="center"/>
          </w:tcPr>
          <w:p>
            <w:pPr>
              <w:widowControl/>
              <w:ind w:left="8" w:leftChars="-66" w:hanging="147" w:hangingChars="70"/>
              <w:jc w:val="right"/>
            </w:pPr>
            <w:r>
              <w:t xml:space="preserve">14,018.48 </w:t>
            </w:r>
          </w:p>
        </w:tc>
        <w:tc>
          <w:tcPr>
            <w:tcW w:w="380" w:type="pct"/>
            <w:tcBorders>
              <w:top w:val="single" w:color="auto" w:sz="4" w:space="0"/>
              <w:left w:val="nil"/>
              <w:bottom w:val="single" w:color="auto" w:sz="4" w:space="0"/>
              <w:right w:val="single" w:color="auto" w:sz="4" w:space="0"/>
            </w:tcBorders>
            <w:vAlign w:val="center"/>
          </w:tcPr>
          <w:p>
            <w:pPr>
              <w:widowControl/>
              <w:ind w:left="8" w:leftChars="-66" w:hanging="147" w:hangingChars="70"/>
              <w:jc w:val="right"/>
            </w:pPr>
            <w:r>
              <w:t>3,190.36</w:t>
            </w:r>
          </w:p>
        </w:tc>
        <w:tc>
          <w:tcPr>
            <w:tcW w:w="369" w:type="pct"/>
            <w:tcBorders>
              <w:top w:val="single" w:color="auto" w:sz="4" w:space="0"/>
              <w:left w:val="nil"/>
              <w:bottom w:val="single" w:color="auto" w:sz="4" w:space="0"/>
              <w:right w:val="single" w:color="auto" w:sz="4" w:space="0"/>
            </w:tcBorders>
            <w:vAlign w:val="center"/>
          </w:tcPr>
          <w:p>
            <w:pPr>
              <w:widowControl/>
              <w:ind w:left="8" w:leftChars="-66" w:hanging="147" w:hangingChars="70"/>
              <w:jc w:val="right"/>
            </w:pPr>
            <w:r>
              <w:t>3,190.36</w:t>
            </w:r>
          </w:p>
        </w:tc>
        <w:tc>
          <w:tcPr>
            <w:tcW w:w="484" w:type="pct"/>
            <w:tcBorders>
              <w:top w:val="single" w:color="auto" w:sz="4" w:space="0"/>
              <w:left w:val="nil"/>
              <w:bottom w:val="single" w:color="auto" w:sz="4" w:space="0"/>
              <w:right w:val="single" w:color="auto" w:sz="4" w:space="0"/>
            </w:tcBorders>
            <w:vAlign w:val="center"/>
          </w:tcPr>
          <w:p>
            <w:pPr>
              <w:widowControl/>
              <w:ind w:left="8" w:leftChars="-66" w:hanging="147" w:hangingChars="70"/>
              <w:jc w:val="right"/>
            </w:pPr>
            <w:r>
              <w:t>-10,828.12</w:t>
            </w:r>
          </w:p>
        </w:tc>
        <w:tc>
          <w:tcPr>
            <w:tcW w:w="356" w:type="pct"/>
            <w:tcBorders>
              <w:top w:val="single" w:color="auto" w:sz="4" w:space="0"/>
              <w:left w:val="nil"/>
              <w:bottom w:val="single" w:color="auto" w:sz="4" w:space="0"/>
              <w:right w:val="single" w:color="auto" w:sz="4" w:space="0"/>
            </w:tcBorders>
            <w:vAlign w:val="center"/>
          </w:tcPr>
          <w:p>
            <w:pPr>
              <w:widowControl/>
              <w:ind w:left="8" w:leftChars="-66" w:hanging="147" w:hangingChars="70"/>
              <w:jc w:val="right"/>
            </w:pPr>
            <w:r>
              <w:t xml:space="preserve"> 22.75 </w:t>
            </w:r>
          </w:p>
        </w:tc>
        <w:tc>
          <w:tcPr>
            <w:tcW w:w="319" w:type="pct"/>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olor w:val="FF0000"/>
                <w:kern w:val="0"/>
                <w:sz w:val="20"/>
                <w:szCs w:val="20"/>
              </w:rPr>
            </w:pPr>
            <w:r>
              <w:rPr>
                <w:color w:val="000000"/>
                <w:kern w:val="0"/>
                <w:sz w:val="20"/>
                <w:szCs w:val="20"/>
              </w:rPr>
              <w:t>2024年</w:t>
            </w:r>
          </w:p>
        </w:tc>
        <w:tc>
          <w:tcPr>
            <w:tcW w:w="344" w:type="pct"/>
            <w:tcBorders>
              <w:top w:val="single" w:color="auto" w:sz="4" w:space="0"/>
              <w:left w:val="nil"/>
              <w:bottom w:val="single" w:color="auto" w:sz="4" w:space="0"/>
              <w:right w:val="single" w:color="auto" w:sz="4" w:space="0"/>
            </w:tcBorders>
            <w:vAlign w:val="center"/>
          </w:tcPr>
          <w:p>
            <w:pPr>
              <w:widowControl/>
              <w:ind w:firstLine="110" w:firstLineChars="55"/>
              <w:jc w:val="center"/>
              <w:rPr>
                <w:rFonts w:ascii="宋体" w:hAnsi="宋体"/>
                <w:color w:val="000000"/>
                <w:kern w:val="0"/>
                <w:sz w:val="20"/>
                <w:szCs w:val="20"/>
              </w:rPr>
            </w:pPr>
            <w:r>
              <w:rPr>
                <w:rFonts w:hint="eastAsia" w:ascii="宋体" w:hAnsi="宋体"/>
                <w:color w:val="000000"/>
                <w:kern w:val="0"/>
                <w:sz w:val="20"/>
                <w:szCs w:val="20"/>
              </w:rPr>
              <w:t>不适用</w:t>
            </w:r>
          </w:p>
        </w:tc>
        <w:tc>
          <w:tcPr>
            <w:tcW w:w="379" w:type="pct"/>
            <w:tcBorders>
              <w:top w:val="single" w:color="auto" w:sz="4" w:space="0"/>
              <w:left w:val="nil"/>
              <w:bottom w:val="single" w:color="auto" w:sz="4" w:space="0"/>
              <w:right w:val="single" w:color="auto" w:sz="4" w:space="0"/>
            </w:tcBorders>
            <w:vAlign w:val="center"/>
          </w:tcPr>
          <w:p>
            <w:pPr>
              <w:widowControl/>
              <w:ind w:firstLine="110" w:firstLineChars="55"/>
              <w:jc w:val="center"/>
              <w:rPr>
                <w:rFonts w:ascii="宋体" w:hAnsi="宋体"/>
                <w:color w:val="000000"/>
                <w:kern w:val="0"/>
                <w:sz w:val="20"/>
                <w:szCs w:val="20"/>
              </w:rPr>
            </w:pPr>
            <w:r>
              <w:rPr>
                <w:rFonts w:hint="eastAsia" w:ascii="宋体" w:hAnsi="宋体"/>
                <w:color w:val="000000"/>
                <w:kern w:val="0"/>
                <w:sz w:val="20"/>
                <w:szCs w:val="20"/>
              </w:rPr>
              <w:t>不适用</w:t>
            </w:r>
          </w:p>
        </w:tc>
        <w:tc>
          <w:tcPr>
            <w:tcW w:w="373" w:type="pct"/>
            <w:tcBorders>
              <w:top w:val="single" w:color="auto" w:sz="4" w:space="0"/>
              <w:left w:val="nil"/>
              <w:bottom w:val="single" w:color="auto" w:sz="4" w:space="0"/>
              <w:right w:val="single" w:color="auto" w:sz="8" w:space="0"/>
            </w:tcBorders>
            <w:vAlign w:val="center"/>
          </w:tcPr>
          <w:p>
            <w:pPr>
              <w:widowControl/>
              <w:ind w:firstLine="110" w:firstLineChars="55"/>
              <w:jc w:val="center"/>
              <w:rPr>
                <w:rFonts w:ascii="宋体" w:hAnsi="宋体"/>
                <w:color w:val="000000"/>
                <w:kern w:val="0"/>
                <w:sz w:val="20"/>
                <w:szCs w:val="20"/>
              </w:rPr>
            </w:pPr>
            <w:r>
              <w:rPr>
                <w:rFonts w:hint="eastAsia" w:ascii="宋体" w:hAnsi="宋体"/>
                <w:color w:val="000000"/>
                <w:kern w:val="0"/>
                <w:sz w:val="20"/>
                <w:szCs w:val="20"/>
              </w:rPr>
              <w:t>否</w:t>
            </w:r>
          </w:p>
        </w:tc>
      </w:tr>
      <w:tr>
        <w:tblPrEx>
          <w:tblCellMar>
            <w:top w:w="0" w:type="dxa"/>
            <w:left w:w="108" w:type="dxa"/>
            <w:bottom w:w="0" w:type="dxa"/>
            <w:right w:w="108" w:type="dxa"/>
          </w:tblCellMar>
        </w:tblPrEx>
        <w:trPr>
          <w:trHeight w:val="282" w:hRule="atLeast"/>
          <w:jc w:val="center"/>
        </w:trPr>
        <w:tc>
          <w:tcPr>
            <w:tcW w:w="560" w:type="pct"/>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olor w:val="000000"/>
                <w:kern w:val="0"/>
                <w:sz w:val="20"/>
                <w:szCs w:val="20"/>
              </w:rPr>
            </w:pPr>
            <w:r>
              <w:rPr>
                <w:rFonts w:hint="eastAsia"/>
                <w:sz w:val="20"/>
                <w:szCs w:val="20"/>
              </w:rPr>
              <w:t xml:space="preserve">V2X 解决方案研发及产业化项目 </w:t>
            </w:r>
          </w:p>
        </w:tc>
        <w:tc>
          <w:tcPr>
            <w:tcW w:w="294" w:type="pct"/>
            <w:tcBorders>
              <w:top w:val="single" w:color="auto" w:sz="4" w:space="0"/>
              <w:left w:val="nil"/>
              <w:bottom w:val="single" w:color="auto" w:sz="4" w:space="0"/>
              <w:right w:val="single" w:color="auto" w:sz="4" w:space="0"/>
            </w:tcBorders>
            <w:vAlign w:val="center"/>
          </w:tcPr>
          <w:p>
            <w:pPr>
              <w:widowControl/>
              <w:ind w:firstLine="110" w:firstLineChars="55"/>
              <w:jc w:val="center"/>
              <w:rPr>
                <w:rFonts w:ascii="宋体" w:hAnsi="宋体"/>
                <w:color w:val="000000"/>
                <w:kern w:val="0"/>
                <w:sz w:val="20"/>
                <w:szCs w:val="20"/>
              </w:rPr>
            </w:pPr>
            <w:r>
              <w:rPr>
                <w:rFonts w:hint="eastAsia" w:ascii="宋体" w:hAnsi="宋体"/>
                <w:color w:val="000000"/>
                <w:kern w:val="0"/>
                <w:sz w:val="20"/>
                <w:szCs w:val="20"/>
              </w:rPr>
              <w:t>无</w:t>
            </w:r>
          </w:p>
        </w:tc>
        <w:tc>
          <w:tcPr>
            <w:tcW w:w="428" w:type="pct"/>
            <w:tcBorders>
              <w:top w:val="single" w:color="auto" w:sz="4" w:space="0"/>
              <w:left w:val="nil"/>
              <w:bottom w:val="single" w:color="auto" w:sz="4" w:space="0"/>
              <w:right w:val="single" w:color="auto" w:sz="4" w:space="0"/>
            </w:tcBorders>
            <w:vAlign w:val="center"/>
          </w:tcPr>
          <w:p>
            <w:pPr>
              <w:widowControl/>
              <w:ind w:left="8" w:leftChars="-66" w:hanging="147" w:hangingChars="70"/>
              <w:jc w:val="right"/>
            </w:pPr>
            <w:r>
              <w:t>8,237.20</w:t>
            </w:r>
          </w:p>
        </w:tc>
        <w:tc>
          <w:tcPr>
            <w:tcW w:w="343" w:type="pct"/>
            <w:tcBorders>
              <w:top w:val="single" w:color="auto" w:sz="4" w:space="0"/>
              <w:left w:val="nil"/>
              <w:bottom w:val="single" w:color="auto" w:sz="4" w:space="0"/>
              <w:right w:val="single" w:color="auto" w:sz="4" w:space="0"/>
            </w:tcBorders>
            <w:vAlign w:val="center"/>
          </w:tcPr>
          <w:p>
            <w:pPr>
              <w:widowControl/>
              <w:ind w:left="8" w:leftChars="-66" w:hanging="147" w:hangingChars="70"/>
              <w:jc w:val="right"/>
            </w:pPr>
            <w:r>
              <w:t xml:space="preserve"> 5,199.03 </w:t>
            </w:r>
          </w:p>
        </w:tc>
        <w:tc>
          <w:tcPr>
            <w:tcW w:w="371" w:type="pct"/>
            <w:tcBorders>
              <w:top w:val="single" w:color="auto" w:sz="4" w:space="0"/>
              <w:left w:val="nil"/>
              <w:bottom w:val="single" w:color="auto" w:sz="4" w:space="0"/>
              <w:right w:val="single" w:color="auto" w:sz="4" w:space="0"/>
            </w:tcBorders>
            <w:vAlign w:val="center"/>
          </w:tcPr>
          <w:p>
            <w:pPr>
              <w:widowControl/>
              <w:ind w:left="8" w:leftChars="-66" w:hanging="147" w:hangingChars="70"/>
              <w:jc w:val="right"/>
            </w:pPr>
            <w:r>
              <w:t xml:space="preserve"> 5,199.03 </w:t>
            </w:r>
          </w:p>
        </w:tc>
        <w:tc>
          <w:tcPr>
            <w:tcW w:w="380" w:type="pct"/>
            <w:tcBorders>
              <w:top w:val="single" w:color="auto" w:sz="4" w:space="0"/>
              <w:left w:val="nil"/>
              <w:bottom w:val="single" w:color="auto" w:sz="4" w:space="0"/>
              <w:right w:val="single" w:color="auto" w:sz="4" w:space="0"/>
            </w:tcBorders>
            <w:vAlign w:val="center"/>
          </w:tcPr>
          <w:p>
            <w:pPr>
              <w:widowControl/>
              <w:ind w:left="8" w:leftChars="-66" w:hanging="147" w:hangingChars="70"/>
              <w:jc w:val="right"/>
            </w:pPr>
            <w:r>
              <w:rPr>
                <w:rFonts w:hint="eastAsia"/>
              </w:rPr>
              <w:t>3</w:t>
            </w:r>
            <w:r>
              <w:t>59.23</w:t>
            </w:r>
          </w:p>
        </w:tc>
        <w:tc>
          <w:tcPr>
            <w:tcW w:w="369" w:type="pct"/>
            <w:tcBorders>
              <w:top w:val="single" w:color="auto" w:sz="4" w:space="0"/>
              <w:left w:val="nil"/>
              <w:bottom w:val="single" w:color="auto" w:sz="4" w:space="0"/>
              <w:right w:val="single" w:color="auto" w:sz="4" w:space="0"/>
            </w:tcBorders>
            <w:vAlign w:val="center"/>
          </w:tcPr>
          <w:p>
            <w:pPr>
              <w:widowControl/>
              <w:ind w:left="8" w:leftChars="-66" w:hanging="147" w:hangingChars="70"/>
              <w:jc w:val="right"/>
            </w:pPr>
            <w:r>
              <w:rPr>
                <w:rFonts w:hint="eastAsia"/>
              </w:rPr>
              <w:t>3</w:t>
            </w:r>
            <w:r>
              <w:t>59.23</w:t>
            </w:r>
          </w:p>
        </w:tc>
        <w:tc>
          <w:tcPr>
            <w:tcW w:w="484" w:type="pct"/>
            <w:tcBorders>
              <w:top w:val="single" w:color="auto" w:sz="4" w:space="0"/>
              <w:left w:val="nil"/>
              <w:bottom w:val="single" w:color="auto" w:sz="4" w:space="0"/>
              <w:right w:val="single" w:color="auto" w:sz="4" w:space="0"/>
            </w:tcBorders>
            <w:vAlign w:val="center"/>
          </w:tcPr>
          <w:p>
            <w:pPr>
              <w:widowControl/>
              <w:ind w:left="8" w:leftChars="-66" w:hanging="147" w:hangingChars="70"/>
              <w:jc w:val="right"/>
            </w:pPr>
            <w:r>
              <w:t>-4,839.80</w:t>
            </w:r>
          </w:p>
        </w:tc>
        <w:tc>
          <w:tcPr>
            <w:tcW w:w="356" w:type="pct"/>
            <w:tcBorders>
              <w:top w:val="single" w:color="auto" w:sz="4" w:space="0"/>
              <w:left w:val="nil"/>
              <w:bottom w:val="single" w:color="auto" w:sz="4" w:space="0"/>
              <w:right w:val="single" w:color="auto" w:sz="4" w:space="0"/>
            </w:tcBorders>
            <w:vAlign w:val="center"/>
          </w:tcPr>
          <w:p>
            <w:pPr>
              <w:widowControl/>
              <w:ind w:left="8" w:leftChars="-66" w:hanging="147" w:hangingChars="70"/>
              <w:jc w:val="right"/>
            </w:pPr>
            <w:r>
              <w:t xml:space="preserve">6.91  </w:t>
            </w:r>
          </w:p>
        </w:tc>
        <w:tc>
          <w:tcPr>
            <w:tcW w:w="319" w:type="pct"/>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olor w:val="FF0000"/>
                <w:kern w:val="0"/>
                <w:sz w:val="20"/>
                <w:szCs w:val="20"/>
              </w:rPr>
            </w:pPr>
            <w:r>
              <w:rPr>
                <w:color w:val="000000"/>
                <w:kern w:val="0"/>
                <w:sz w:val="20"/>
                <w:szCs w:val="20"/>
              </w:rPr>
              <w:t>2024年</w:t>
            </w:r>
          </w:p>
        </w:tc>
        <w:tc>
          <w:tcPr>
            <w:tcW w:w="344" w:type="pct"/>
            <w:tcBorders>
              <w:top w:val="single" w:color="auto" w:sz="4" w:space="0"/>
              <w:left w:val="nil"/>
              <w:bottom w:val="single" w:color="auto" w:sz="4" w:space="0"/>
              <w:right w:val="single" w:color="auto" w:sz="4" w:space="0"/>
            </w:tcBorders>
            <w:vAlign w:val="center"/>
          </w:tcPr>
          <w:p>
            <w:pPr>
              <w:widowControl/>
              <w:ind w:firstLine="110" w:firstLineChars="55"/>
              <w:jc w:val="center"/>
              <w:rPr>
                <w:rFonts w:ascii="宋体" w:hAnsi="宋体"/>
                <w:color w:val="000000"/>
                <w:kern w:val="0"/>
                <w:sz w:val="20"/>
                <w:szCs w:val="20"/>
              </w:rPr>
            </w:pPr>
            <w:r>
              <w:rPr>
                <w:rFonts w:hint="eastAsia" w:ascii="宋体" w:hAnsi="宋体"/>
                <w:color w:val="000000"/>
                <w:kern w:val="0"/>
                <w:sz w:val="20"/>
                <w:szCs w:val="20"/>
              </w:rPr>
              <w:t>不适用</w:t>
            </w:r>
          </w:p>
        </w:tc>
        <w:tc>
          <w:tcPr>
            <w:tcW w:w="379" w:type="pct"/>
            <w:tcBorders>
              <w:top w:val="single" w:color="auto" w:sz="4" w:space="0"/>
              <w:left w:val="nil"/>
              <w:bottom w:val="single" w:color="auto" w:sz="4" w:space="0"/>
              <w:right w:val="single" w:color="auto" w:sz="4" w:space="0"/>
            </w:tcBorders>
            <w:vAlign w:val="center"/>
          </w:tcPr>
          <w:p>
            <w:pPr>
              <w:widowControl/>
              <w:ind w:firstLine="110" w:firstLineChars="55"/>
              <w:jc w:val="center"/>
              <w:rPr>
                <w:rFonts w:ascii="宋体" w:hAnsi="宋体"/>
                <w:color w:val="000000"/>
                <w:kern w:val="0"/>
                <w:sz w:val="20"/>
                <w:szCs w:val="20"/>
              </w:rPr>
            </w:pPr>
            <w:r>
              <w:rPr>
                <w:rFonts w:hint="eastAsia" w:ascii="宋体" w:hAnsi="宋体"/>
                <w:color w:val="000000"/>
                <w:kern w:val="0"/>
                <w:sz w:val="20"/>
                <w:szCs w:val="20"/>
              </w:rPr>
              <w:t>不适用</w:t>
            </w:r>
          </w:p>
        </w:tc>
        <w:tc>
          <w:tcPr>
            <w:tcW w:w="373" w:type="pct"/>
            <w:tcBorders>
              <w:top w:val="single" w:color="auto" w:sz="4" w:space="0"/>
              <w:left w:val="nil"/>
              <w:bottom w:val="single" w:color="auto" w:sz="4" w:space="0"/>
              <w:right w:val="single" w:color="auto" w:sz="8" w:space="0"/>
            </w:tcBorders>
            <w:vAlign w:val="center"/>
          </w:tcPr>
          <w:p>
            <w:pPr>
              <w:widowControl/>
              <w:ind w:firstLine="110" w:firstLineChars="55"/>
              <w:jc w:val="center"/>
              <w:rPr>
                <w:rFonts w:ascii="宋体" w:hAnsi="宋体"/>
                <w:color w:val="000000"/>
                <w:kern w:val="0"/>
                <w:sz w:val="20"/>
                <w:szCs w:val="20"/>
              </w:rPr>
            </w:pPr>
            <w:r>
              <w:rPr>
                <w:rFonts w:hint="eastAsia" w:ascii="宋体" w:hAnsi="宋体"/>
                <w:color w:val="000000"/>
                <w:kern w:val="0"/>
                <w:sz w:val="20"/>
                <w:szCs w:val="20"/>
              </w:rPr>
              <w:t>否</w:t>
            </w:r>
          </w:p>
        </w:tc>
      </w:tr>
      <w:tr>
        <w:tblPrEx>
          <w:tblCellMar>
            <w:top w:w="0" w:type="dxa"/>
            <w:left w:w="108" w:type="dxa"/>
            <w:bottom w:w="0" w:type="dxa"/>
            <w:right w:w="108" w:type="dxa"/>
          </w:tblCellMar>
        </w:tblPrEx>
        <w:trPr>
          <w:trHeight w:val="282" w:hRule="atLeast"/>
          <w:jc w:val="center"/>
        </w:trPr>
        <w:tc>
          <w:tcPr>
            <w:tcW w:w="560" w:type="pct"/>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color w:val="000000"/>
                <w:kern w:val="0"/>
                <w:sz w:val="20"/>
                <w:szCs w:val="20"/>
              </w:rPr>
            </w:pPr>
            <w:r>
              <w:rPr>
                <w:rFonts w:hint="eastAsia"/>
                <w:sz w:val="20"/>
                <w:szCs w:val="20"/>
              </w:rPr>
              <w:t xml:space="preserve">补充流动资金 </w:t>
            </w:r>
          </w:p>
        </w:tc>
        <w:tc>
          <w:tcPr>
            <w:tcW w:w="294" w:type="pct"/>
            <w:tcBorders>
              <w:top w:val="single" w:color="auto" w:sz="4" w:space="0"/>
              <w:left w:val="nil"/>
              <w:bottom w:val="single" w:color="auto" w:sz="4" w:space="0"/>
              <w:right w:val="single" w:color="auto" w:sz="4" w:space="0"/>
            </w:tcBorders>
            <w:vAlign w:val="center"/>
          </w:tcPr>
          <w:p>
            <w:pPr>
              <w:widowControl/>
              <w:ind w:firstLine="110" w:firstLineChars="55"/>
              <w:jc w:val="center"/>
              <w:rPr>
                <w:rFonts w:ascii="宋体" w:hAnsi="宋体"/>
                <w:color w:val="000000"/>
                <w:kern w:val="0"/>
                <w:sz w:val="20"/>
                <w:szCs w:val="20"/>
              </w:rPr>
            </w:pPr>
            <w:r>
              <w:rPr>
                <w:rFonts w:hint="eastAsia" w:ascii="宋体" w:hAnsi="宋体"/>
                <w:color w:val="000000"/>
                <w:kern w:val="0"/>
                <w:sz w:val="20"/>
                <w:szCs w:val="20"/>
              </w:rPr>
              <w:t>无</w:t>
            </w:r>
          </w:p>
        </w:tc>
        <w:tc>
          <w:tcPr>
            <w:tcW w:w="428" w:type="pct"/>
            <w:tcBorders>
              <w:top w:val="single" w:color="auto" w:sz="4" w:space="0"/>
              <w:left w:val="nil"/>
              <w:bottom w:val="single" w:color="auto" w:sz="4" w:space="0"/>
              <w:right w:val="single" w:color="auto" w:sz="4" w:space="0"/>
            </w:tcBorders>
            <w:vAlign w:val="center"/>
          </w:tcPr>
          <w:p>
            <w:pPr>
              <w:widowControl/>
              <w:ind w:left="8" w:leftChars="-66" w:hanging="147" w:hangingChars="70"/>
              <w:jc w:val="right"/>
            </w:pPr>
            <w:r>
              <w:t xml:space="preserve">10,000.00 </w:t>
            </w:r>
          </w:p>
        </w:tc>
        <w:tc>
          <w:tcPr>
            <w:tcW w:w="343" w:type="pct"/>
            <w:tcBorders>
              <w:top w:val="single" w:color="auto" w:sz="4" w:space="0"/>
              <w:left w:val="nil"/>
              <w:bottom w:val="single" w:color="auto" w:sz="4" w:space="0"/>
              <w:right w:val="single" w:color="auto" w:sz="4" w:space="0"/>
            </w:tcBorders>
            <w:vAlign w:val="center"/>
          </w:tcPr>
          <w:p>
            <w:pPr>
              <w:widowControl/>
              <w:ind w:left="8" w:leftChars="-66" w:hanging="147" w:hangingChars="70"/>
              <w:jc w:val="right"/>
            </w:pPr>
            <w:r>
              <w:t xml:space="preserve">10,000.00 </w:t>
            </w:r>
          </w:p>
        </w:tc>
        <w:tc>
          <w:tcPr>
            <w:tcW w:w="371" w:type="pct"/>
            <w:tcBorders>
              <w:top w:val="single" w:color="auto" w:sz="4" w:space="0"/>
              <w:left w:val="nil"/>
              <w:bottom w:val="single" w:color="auto" w:sz="4" w:space="0"/>
              <w:right w:val="single" w:color="auto" w:sz="4" w:space="0"/>
            </w:tcBorders>
            <w:vAlign w:val="center"/>
          </w:tcPr>
          <w:p>
            <w:pPr>
              <w:widowControl/>
              <w:ind w:left="8" w:leftChars="-66" w:hanging="147" w:hangingChars="70"/>
              <w:jc w:val="right"/>
            </w:pPr>
            <w:r>
              <w:t xml:space="preserve">10,000.00 </w:t>
            </w:r>
          </w:p>
        </w:tc>
        <w:tc>
          <w:tcPr>
            <w:tcW w:w="380" w:type="pct"/>
            <w:tcBorders>
              <w:top w:val="single" w:color="auto" w:sz="4" w:space="0"/>
              <w:left w:val="nil"/>
              <w:bottom w:val="single" w:color="auto" w:sz="4" w:space="0"/>
              <w:right w:val="single" w:color="auto" w:sz="4" w:space="0"/>
            </w:tcBorders>
            <w:vAlign w:val="center"/>
          </w:tcPr>
          <w:p>
            <w:pPr>
              <w:widowControl/>
              <w:ind w:left="8" w:leftChars="-66" w:hanging="147" w:hangingChars="70"/>
              <w:jc w:val="right"/>
            </w:pPr>
            <w:r>
              <w:t>10,075.76</w:t>
            </w:r>
          </w:p>
        </w:tc>
        <w:tc>
          <w:tcPr>
            <w:tcW w:w="369" w:type="pct"/>
            <w:tcBorders>
              <w:top w:val="single" w:color="auto" w:sz="4" w:space="0"/>
              <w:left w:val="nil"/>
              <w:bottom w:val="single" w:color="auto" w:sz="4" w:space="0"/>
              <w:right w:val="single" w:color="auto" w:sz="4" w:space="0"/>
            </w:tcBorders>
            <w:vAlign w:val="center"/>
          </w:tcPr>
          <w:p>
            <w:pPr>
              <w:widowControl/>
              <w:ind w:left="8" w:leftChars="-66" w:hanging="147" w:hangingChars="70"/>
              <w:jc w:val="right"/>
            </w:pPr>
            <w:r>
              <w:t>10,075.76</w:t>
            </w:r>
          </w:p>
        </w:tc>
        <w:tc>
          <w:tcPr>
            <w:tcW w:w="484" w:type="pct"/>
            <w:tcBorders>
              <w:top w:val="single" w:color="auto" w:sz="4" w:space="0"/>
              <w:left w:val="nil"/>
              <w:bottom w:val="single" w:color="auto" w:sz="4" w:space="0"/>
              <w:right w:val="single" w:color="auto" w:sz="4" w:space="0"/>
            </w:tcBorders>
            <w:vAlign w:val="center"/>
          </w:tcPr>
          <w:p>
            <w:pPr>
              <w:widowControl/>
              <w:ind w:left="8" w:leftChars="-66" w:hanging="147" w:hangingChars="70"/>
              <w:jc w:val="right"/>
            </w:pPr>
            <w:r>
              <w:t xml:space="preserve">75.76  </w:t>
            </w:r>
          </w:p>
        </w:tc>
        <w:tc>
          <w:tcPr>
            <w:tcW w:w="356" w:type="pct"/>
            <w:tcBorders>
              <w:top w:val="single" w:color="auto" w:sz="4" w:space="0"/>
              <w:left w:val="nil"/>
              <w:bottom w:val="single" w:color="auto" w:sz="4" w:space="0"/>
              <w:right w:val="single" w:color="auto" w:sz="4" w:space="0"/>
            </w:tcBorders>
            <w:vAlign w:val="center"/>
          </w:tcPr>
          <w:p>
            <w:pPr>
              <w:widowControl/>
              <w:ind w:left="8" w:leftChars="-66" w:hanging="147" w:hangingChars="70"/>
              <w:jc w:val="right"/>
            </w:pPr>
            <w:r>
              <w:t xml:space="preserve"> 100.76 </w:t>
            </w:r>
          </w:p>
        </w:tc>
        <w:tc>
          <w:tcPr>
            <w:tcW w:w="319" w:type="pct"/>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宋体" w:hAnsi="宋体"/>
                <w:color w:val="FF0000"/>
                <w:kern w:val="0"/>
                <w:sz w:val="20"/>
                <w:szCs w:val="20"/>
              </w:rPr>
            </w:pPr>
            <w:r>
              <w:rPr>
                <w:rFonts w:hint="eastAsia" w:ascii="宋体" w:hAnsi="宋体"/>
                <w:color w:val="000000"/>
                <w:kern w:val="0"/>
                <w:sz w:val="20"/>
                <w:szCs w:val="20"/>
              </w:rPr>
              <w:t>不适用</w:t>
            </w:r>
          </w:p>
        </w:tc>
        <w:tc>
          <w:tcPr>
            <w:tcW w:w="344" w:type="pct"/>
            <w:tcBorders>
              <w:top w:val="single" w:color="auto" w:sz="4" w:space="0"/>
              <w:left w:val="nil"/>
              <w:bottom w:val="single" w:color="auto" w:sz="4" w:space="0"/>
              <w:right w:val="single" w:color="auto" w:sz="4" w:space="0"/>
            </w:tcBorders>
            <w:vAlign w:val="center"/>
          </w:tcPr>
          <w:p>
            <w:pPr>
              <w:widowControl/>
              <w:ind w:firstLine="110" w:firstLineChars="55"/>
              <w:jc w:val="center"/>
              <w:rPr>
                <w:rFonts w:ascii="宋体" w:hAnsi="宋体"/>
                <w:color w:val="000000"/>
                <w:kern w:val="0"/>
                <w:sz w:val="20"/>
                <w:szCs w:val="20"/>
              </w:rPr>
            </w:pPr>
            <w:r>
              <w:rPr>
                <w:rFonts w:hint="eastAsia" w:ascii="宋体" w:hAnsi="宋体"/>
                <w:color w:val="000000"/>
                <w:kern w:val="0"/>
                <w:sz w:val="20"/>
                <w:szCs w:val="20"/>
              </w:rPr>
              <w:t>不适用</w:t>
            </w:r>
          </w:p>
        </w:tc>
        <w:tc>
          <w:tcPr>
            <w:tcW w:w="379" w:type="pct"/>
            <w:tcBorders>
              <w:top w:val="single" w:color="auto" w:sz="4" w:space="0"/>
              <w:left w:val="nil"/>
              <w:bottom w:val="single" w:color="auto" w:sz="4" w:space="0"/>
              <w:right w:val="single" w:color="auto" w:sz="4" w:space="0"/>
            </w:tcBorders>
            <w:vAlign w:val="center"/>
          </w:tcPr>
          <w:p>
            <w:pPr>
              <w:widowControl/>
              <w:ind w:firstLine="110" w:firstLineChars="55"/>
              <w:jc w:val="center"/>
              <w:rPr>
                <w:rFonts w:ascii="宋体" w:hAnsi="宋体"/>
                <w:color w:val="000000"/>
                <w:kern w:val="0"/>
                <w:sz w:val="20"/>
                <w:szCs w:val="20"/>
              </w:rPr>
            </w:pPr>
            <w:r>
              <w:rPr>
                <w:rFonts w:hint="eastAsia" w:ascii="宋体" w:hAnsi="宋体"/>
                <w:color w:val="000000"/>
                <w:kern w:val="0"/>
                <w:sz w:val="20"/>
                <w:szCs w:val="20"/>
              </w:rPr>
              <w:t>不适用</w:t>
            </w:r>
          </w:p>
        </w:tc>
        <w:tc>
          <w:tcPr>
            <w:tcW w:w="373" w:type="pct"/>
            <w:tcBorders>
              <w:top w:val="single" w:color="auto" w:sz="4" w:space="0"/>
              <w:left w:val="nil"/>
              <w:bottom w:val="single" w:color="auto" w:sz="4" w:space="0"/>
              <w:right w:val="single" w:color="auto" w:sz="8" w:space="0"/>
            </w:tcBorders>
            <w:vAlign w:val="center"/>
          </w:tcPr>
          <w:p>
            <w:pPr>
              <w:widowControl/>
              <w:ind w:firstLine="110" w:firstLineChars="55"/>
              <w:jc w:val="center"/>
              <w:rPr>
                <w:rFonts w:ascii="宋体" w:hAnsi="宋体"/>
                <w:color w:val="000000"/>
                <w:kern w:val="0"/>
                <w:sz w:val="20"/>
                <w:szCs w:val="20"/>
              </w:rPr>
            </w:pPr>
            <w:r>
              <w:rPr>
                <w:rFonts w:hint="eastAsia" w:ascii="宋体" w:hAnsi="宋体"/>
                <w:color w:val="000000"/>
                <w:kern w:val="0"/>
                <w:sz w:val="20"/>
                <w:szCs w:val="20"/>
              </w:rPr>
              <w:t>否</w:t>
            </w:r>
          </w:p>
        </w:tc>
      </w:tr>
      <w:tr>
        <w:tblPrEx>
          <w:tblCellMar>
            <w:top w:w="0" w:type="dxa"/>
            <w:left w:w="108" w:type="dxa"/>
            <w:bottom w:w="0" w:type="dxa"/>
            <w:right w:w="108" w:type="dxa"/>
          </w:tblCellMar>
        </w:tblPrEx>
        <w:trPr>
          <w:trHeight w:val="282" w:hRule="atLeast"/>
          <w:jc w:val="center"/>
        </w:trPr>
        <w:tc>
          <w:tcPr>
            <w:tcW w:w="560" w:type="pct"/>
            <w:tcBorders>
              <w:top w:val="nil"/>
              <w:left w:val="single" w:color="auto" w:sz="8" w:space="0"/>
              <w:bottom w:val="single" w:color="auto" w:sz="4" w:space="0"/>
              <w:right w:val="single" w:color="auto" w:sz="4" w:space="0"/>
            </w:tcBorders>
            <w:vAlign w:val="center"/>
          </w:tcPr>
          <w:p>
            <w:pPr>
              <w:widowControl/>
              <w:ind w:firstLine="400" w:firstLineChars="200"/>
              <w:jc w:val="center"/>
              <w:rPr>
                <w:rFonts w:ascii="宋体" w:hAnsi="宋体"/>
                <w:color w:val="000000"/>
                <w:kern w:val="0"/>
                <w:sz w:val="20"/>
                <w:szCs w:val="20"/>
              </w:rPr>
            </w:pPr>
            <w:r>
              <w:rPr>
                <w:rFonts w:hint="eastAsia" w:ascii="宋体" w:hAnsi="宋体"/>
                <w:color w:val="000000"/>
                <w:kern w:val="0"/>
                <w:sz w:val="20"/>
                <w:szCs w:val="20"/>
              </w:rPr>
              <w:t>合计</w:t>
            </w:r>
          </w:p>
        </w:tc>
        <w:tc>
          <w:tcPr>
            <w:tcW w:w="294" w:type="pct"/>
            <w:tcBorders>
              <w:top w:val="nil"/>
              <w:left w:val="nil"/>
              <w:bottom w:val="single" w:color="auto" w:sz="4" w:space="0"/>
              <w:right w:val="single" w:color="auto" w:sz="4" w:space="0"/>
            </w:tcBorders>
            <w:vAlign w:val="center"/>
          </w:tcPr>
          <w:p>
            <w:pPr>
              <w:widowControl/>
              <w:ind w:firstLine="110" w:firstLineChars="55"/>
              <w:jc w:val="center"/>
              <w:rPr>
                <w:rFonts w:ascii="宋体" w:hAnsi="宋体"/>
                <w:color w:val="000000"/>
                <w:kern w:val="0"/>
                <w:sz w:val="20"/>
                <w:szCs w:val="20"/>
              </w:rPr>
            </w:pPr>
            <w:r>
              <w:rPr>
                <w:rFonts w:hint="eastAsia" w:ascii="宋体" w:hAnsi="宋体"/>
                <w:color w:val="000000"/>
                <w:kern w:val="0"/>
                <w:sz w:val="20"/>
                <w:szCs w:val="20"/>
              </w:rPr>
              <w:t>—</w:t>
            </w:r>
          </w:p>
        </w:tc>
        <w:tc>
          <w:tcPr>
            <w:tcW w:w="428" w:type="pct"/>
            <w:tcBorders>
              <w:top w:val="nil"/>
              <w:left w:val="nil"/>
              <w:bottom w:val="single" w:color="auto" w:sz="4" w:space="0"/>
              <w:right w:val="single" w:color="auto" w:sz="4" w:space="0"/>
            </w:tcBorders>
            <w:vAlign w:val="center"/>
          </w:tcPr>
          <w:p>
            <w:pPr>
              <w:widowControl/>
              <w:ind w:left="8" w:leftChars="-66" w:hanging="147" w:hangingChars="70"/>
              <w:jc w:val="right"/>
            </w:pPr>
            <w:r>
              <w:t>55,649.12</w:t>
            </w:r>
          </w:p>
        </w:tc>
        <w:tc>
          <w:tcPr>
            <w:tcW w:w="343" w:type="pct"/>
            <w:tcBorders>
              <w:top w:val="nil"/>
              <w:left w:val="nil"/>
              <w:bottom w:val="single" w:color="auto" w:sz="4" w:space="0"/>
              <w:right w:val="single" w:color="auto" w:sz="4" w:space="0"/>
            </w:tcBorders>
            <w:vAlign w:val="center"/>
          </w:tcPr>
          <w:p>
            <w:pPr>
              <w:widowControl/>
              <w:ind w:left="8" w:leftChars="-66" w:hanging="147" w:hangingChars="70"/>
              <w:jc w:val="right"/>
            </w:pPr>
            <w:r>
              <w:t>41,266.29</w:t>
            </w:r>
          </w:p>
        </w:tc>
        <w:tc>
          <w:tcPr>
            <w:tcW w:w="371" w:type="pct"/>
            <w:tcBorders>
              <w:top w:val="nil"/>
              <w:left w:val="nil"/>
              <w:bottom w:val="single" w:color="auto" w:sz="4" w:space="0"/>
              <w:right w:val="single" w:color="auto" w:sz="4" w:space="0"/>
            </w:tcBorders>
            <w:vAlign w:val="center"/>
          </w:tcPr>
          <w:p>
            <w:pPr>
              <w:widowControl/>
              <w:ind w:left="8" w:leftChars="-66" w:hanging="147" w:hangingChars="70"/>
              <w:jc w:val="right"/>
            </w:pPr>
            <w:r>
              <w:t>41,266.29</w:t>
            </w:r>
            <w:r>
              <w:rPr>
                <w:rFonts w:hint="eastAsia"/>
              </w:rPr>
              <w:t>　</w:t>
            </w:r>
          </w:p>
        </w:tc>
        <w:tc>
          <w:tcPr>
            <w:tcW w:w="380" w:type="pct"/>
            <w:tcBorders>
              <w:top w:val="nil"/>
              <w:left w:val="nil"/>
              <w:bottom w:val="single" w:color="auto" w:sz="4" w:space="0"/>
              <w:right w:val="single" w:color="auto" w:sz="4" w:space="0"/>
            </w:tcBorders>
            <w:vAlign w:val="center"/>
          </w:tcPr>
          <w:p>
            <w:pPr>
              <w:widowControl/>
              <w:ind w:left="8" w:leftChars="-66" w:hanging="147" w:hangingChars="70"/>
              <w:jc w:val="right"/>
            </w:pPr>
            <w:r>
              <w:t>18,372.</w:t>
            </w:r>
            <w:r>
              <w:rPr>
                <w:rFonts w:hint="eastAsia"/>
                <w:lang w:val="en-US" w:eastAsia="zh-CN"/>
              </w:rPr>
              <w:t>48</w:t>
            </w:r>
          </w:p>
        </w:tc>
        <w:tc>
          <w:tcPr>
            <w:tcW w:w="369" w:type="pct"/>
            <w:tcBorders>
              <w:top w:val="nil"/>
              <w:left w:val="nil"/>
              <w:bottom w:val="single" w:color="auto" w:sz="4" w:space="0"/>
              <w:right w:val="single" w:color="auto" w:sz="4" w:space="0"/>
            </w:tcBorders>
            <w:vAlign w:val="center"/>
          </w:tcPr>
          <w:p>
            <w:pPr>
              <w:widowControl/>
              <w:ind w:left="8" w:leftChars="-66" w:hanging="147" w:hangingChars="70"/>
              <w:jc w:val="right"/>
            </w:pPr>
            <w:r>
              <w:t>18,372.</w:t>
            </w:r>
            <w:r>
              <w:rPr>
                <w:rFonts w:hint="eastAsia"/>
                <w:lang w:val="en-US" w:eastAsia="zh-CN"/>
              </w:rPr>
              <w:t>48</w:t>
            </w:r>
          </w:p>
        </w:tc>
        <w:tc>
          <w:tcPr>
            <w:tcW w:w="484" w:type="pct"/>
            <w:tcBorders>
              <w:top w:val="nil"/>
              <w:left w:val="nil"/>
              <w:bottom w:val="single" w:color="auto" w:sz="4" w:space="0"/>
              <w:right w:val="single" w:color="auto" w:sz="4" w:space="0"/>
            </w:tcBorders>
            <w:vAlign w:val="center"/>
          </w:tcPr>
          <w:p>
            <w:pPr>
              <w:widowControl/>
              <w:ind w:left="8" w:leftChars="-66" w:hanging="147" w:hangingChars="70"/>
              <w:jc w:val="right"/>
            </w:pPr>
            <w:r>
              <w:t>-22,893.</w:t>
            </w:r>
            <w:r>
              <w:rPr>
                <w:rFonts w:hint="eastAsia"/>
                <w:lang w:val="en-US" w:eastAsia="zh-CN"/>
              </w:rPr>
              <w:t>81</w:t>
            </w:r>
          </w:p>
        </w:tc>
        <w:tc>
          <w:tcPr>
            <w:tcW w:w="356" w:type="pct"/>
            <w:tcBorders>
              <w:top w:val="nil"/>
              <w:left w:val="nil"/>
              <w:bottom w:val="single" w:color="auto" w:sz="4" w:space="0"/>
              <w:right w:val="single" w:color="auto" w:sz="4" w:space="0"/>
            </w:tcBorders>
            <w:vAlign w:val="center"/>
          </w:tcPr>
          <w:p>
            <w:pPr>
              <w:widowControl/>
              <w:ind w:left="8" w:leftChars="-66" w:hanging="147" w:hangingChars="70"/>
              <w:jc w:val="right"/>
            </w:pPr>
            <w:r>
              <w:t>44.52</w:t>
            </w:r>
          </w:p>
        </w:tc>
        <w:tc>
          <w:tcPr>
            <w:tcW w:w="319" w:type="pct"/>
            <w:tcBorders>
              <w:top w:val="nil"/>
              <w:left w:val="nil"/>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w:t>
            </w:r>
          </w:p>
        </w:tc>
        <w:tc>
          <w:tcPr>
            <w:tcW w:w="344" w:type="pct"/>
            <w:tcBorders>
              <w:top w:val="nil"/>
              <w:left w:val="nil"/>
              <w:bottom w:val="single" w:color="auto" w:sz="4" w:space="0"/>
              <w:right w:val="single" w:color="auto" w:sz="4" w:space="0"/>
            </w:tcBorders>
            <w:vAlign w:val="center"/>
          </w:tcPr>
          <w:p>
            <w:pPr>
              <w:widowControl/>
              <w:ind w:firstLine="110" w:firstLineChars="55"/>
              <w:jc w:val="center"/>
              <w:rPr>
                <w:rFonts w:ascii="宋体" w:hAnsi="宋体"/>
                <w:color w:val="000000"/>
                <w:kern w:val="0"/>
                <w:sz w:val="20"/>
                <w:szCs w:val="20"/>
              </w:rPr>
            </w:pPr>
            <w:r>
              <w:rPr>
                <w:rFonts w:hint="eastAsia" w:ascii="宋体" w:hAnsi="宋体"/>
                <w:color w:val="000000"/>
                <w:kern w:val="0"/>
                <w:sz w:val="20"/>
                <w:szCs w:val="20"/>
              </w:rPr>
              <w:t>—</w:t>
            </w:r>
          </w:p>
        </w:tc>
        <w:tc>
          <w:tcPr>
            <w:tcW w:w="379" w:type="pct"/>
            <w:tcBorders>
              <w:top w:val="nil"/>
              <w:left w:val="nil"/>
              <w:bottom w:val="single" w:color="auto" w:sz="4" w:space="0"/>
              <w:right w:val="single" w:color="auto" w:sz="4" w:space="0"/>
            </w:tcBorders>
            <w:vAlign w:val="center"/>
          </w:tcPr>
          <w:p>
            <w:pPr>
              <w:widowControl/>
              <w:ind w:firstLine="110" w:firstLineChars="55"/>
              <w:jc w:val="center"/>
              <w:rPr>
                <w:rFonts w:ascii="宋体" w:hAnsi="宋体"/>
                <w:color w:val="000000"/>
                <w:kern w:val="0"/>
                <w:sz w:val="20"/>
                <w:szCs w:val="20"/>
              </w:rPr>
            </w:pPr>
            <w:r>
              <w:rPr>
                <w:rFonts w:hint="eastAsia" w:ascii="宋体" w:hAnsi="宋体"/>
                <w:color w:val="000000"/>
                <w:kern w:val="0"/>
                <w:sz w:val="20"/>
                <w:szCs w:val="20"/>
              </w:rPr>
              <w:t>—</w:t>
            </w:r>
          </w:p>
        </w:tc>
        <w:tc>
          <w:tcPr>
            <w:tcW w:w="373" w:type="pct"/>
            <w:tcBorders>
              <w:top w:val="nil"/>
              <w:left w:val="nil"/>
              <w:bottom w:val="single" w:color="auto" w:sz="4" w:space="0"/>
              <w:right w:val="single" w:color="auto" w:sz="8" w:space="0"/>
            </w:tcBorders>
            <w:vAlign w:val="center"/>
          </w:tcPr>
          <w:p>
            <w:pPr>
              <w:widowControl/>
              <w:ind w:firstLine="110" w:firstLineChars="55"/>
              <w:jc w:val="center"/>
              <w:rPr>
                <w:rFonts w:ascii="宋体" w:hAnsi="宋体"/>
                <w:color w:val="000000"/>
                <w:kern w:val="0"/>
                <w:sz w:val="20"/>
                <w:szCs w:val="20"/>
              </w:rPr>
            </w:pPr>
            <w:r>
              <w:rPr>
                <w:rFonts w:hint="eastAsia" w:ascii="宋体" w:hAnsi="宋体"/>
                <w:color w:val="000000"/>
                <w:kern w:val="0"/>
                <w:sz w:val="20"/>
                <w:szCs w:val="20"/>
              </w:rPr>
              <w:t>—</w:t>
            </w:r>
          </w:p>
        </w:tc>
      </w:tr>
      <w:tr>
        <w:tblPrEx>
          <w:tblCellMar>
            <w:top w:w="0" w:type="dxa"/>
            <w:left w:w="108" w:type="dxa"/>
            <w:bottom w:w="0" w:type="dxa"/>
            <w:right w:w="108" w:type="dxa"/>
          </w:tblCellMar>
        </w:tblPrEx>
        <w:trPr>
          <w:trHeight w:val="417" w:hRule="atLeast"/>
          <w:jc w:val="center"/>
        </w:trPr>
        <w:tc>
          <w:tcPr>
            <w:tcW w:w="1996" w:type="pct"/>
            <w:gridSpan w:val="5"/>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未达到计划进度原因</w:t>
            </w:r>
          </w:p>
          <w:p>
            <w:pPr>
              <w:widowControl/>
              <w:jc w:val="center"/>
              <w:rPr>
                <w:rFonts w:ascii="宋体" w:hAnsi="宋体"/>
                <w:color w:val="000000"/>
                <w:kern w:val="0"/>
                <w:sz w:val="20"/>
                <w:szCs w:val="20"/>
              </w:rPr>
            </w:pPr>
            <w:r>
              <w:rPr>
                <w:rFonts w:hint="eastAsia" w:ascii="宋体" w:hAnsi="宋体"/>
                <w:color w:val="000000"/>
                <w:kern w:val="0"/>
                <w:sz w:val="20"/>
                <w:szCs w:val="20"/>
              </w:rPr>
              <w:t>（分具体募投项目）</w:t>
            </w:r>
          </w:p>
        </w:tc>
        <w:tc>
          <w:tcPr>
            <w:tcW w:w="3004" w:type="pct"/>
            <w:gridSpan w:val="8"/>
            <w:tcBorders>
              <w:top w:val="single" w:color="auto" w:sz="4" w:space="0"/>
              <w:left w:val="nil"/>
              <w:bottom w:val="single" w:color="auto" w:sz="4" w:space="0"/>
              <w:right w:val="single" w:color="000000" w:sz="8" w:space="0"/>
            </w:tcBorders>
            <w:vAlign w:val="center"/>
          </w:tcPr>
          <w:p>
            <w:pPr>
              <w:widowControl/>
              <w:ind w:firstLine="400" w:firstLineChars="200"/>
              <w:jc w:val="center"/>
              <w:rPr>
                <w:rFonts w:ascii="宋体" w:hAnsi="宋体"/>
                <w:color w:val="000000"/>
                <w:kern w:val="0"/>
                <w:sz w:val="20"/>
                <w:szCs w:val="20"/>
              </w:rPr>
            </w:pPr>
            <w:r>
              <w:rPr>
                <w:rFonts w:hint="eastAsia" w:ascii="宋体" w:hAnsi="宋体"/>
                <w:color w:val="000000"/>
                <w:kern w:val="0"/>
                <w:sz w:val="20"/>
                <w:szCs w:val="20"/>
              </w:rPr>
              <w:t>　不适用</w:t>
            </w:r>
          </w:p>
        </w:tc>
      </w:tr>
      <w:tr>
        <w:tblPrEx>
          <w:tblCellMar>
            <w:top w:w="0" w:type="dxa"/>
            <w:left w:w="108" w:type="dxa"/>
            <w:bottom w:w="0" w:type="dxa"/>
            <w:right w:w="108" w:type="dxa"/>
          </w:tblCellMar>
        </w:tblPrEx>
        <w:trPr>
          <w:trHeight w:val="282" w:hRule="atLeast"/>
          <w:jc w:val="center"/>
        </w:trPr>
        <w:tc>
          <w:tcPr>
            <w:tcW w:w="1996" w:type="pct"/>
            <w:gridSpan w:val="5"/>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项目可行性发生</w:t>
            </w:r>
          </w:p>
          <w:p>
            <w:pPr>
              <w:widowControl/>
              <w:jc w:val="center"/>
              <w:rPr>
                <w:rFonts w:ascii="宋体" w:hAnsi="宋体"/>
                <w:color w:val="000000"/>
                <w:kern w:val="0"/>
                <w:sz w:val="20"/>
                <w:szCs w:val="20"/>
              </w:rPr>
            </w:pPr>
            <w:r>
              <w:rPr>
                <w:rFonts w:hint="eastAsia" w:ascii="宋体" w:hAnsi="宋体"/>
                <w:color w:val="000000"/>
                <w:kern w:val="0"/>
                <w:sz w:val="20"/>
                <w:szCs w:val="20"/>
              </w:rPr>
              <w:t>重大变化的情况说明</w:t>
            </w:r>
          </w:p>
        </w:tc>
        <w:tc>
          <w:tcPr>
            <w:tcW w:w="3004" w:type="pct"/>
            <w:gridSpan w:val="8"/>
            <w:tcBorders>
              <w:top w:val="single" w:color="auto" w:sz="4" w:space="0"/>
              <w:left w:val="nil"/>
              <w:bottom w:val="single" w:color="auto" w:sz="4" w:space="0"/>
              <w:right w:val="single" w:color="000000" w:sz="8" w:space="0"/>
            </w:tcBorders>
            <w:vAlign w:val="center"/>
          </w:tcPr>
          <w:p>
            <w:pPr>
              <w:widowControl/>
              <w:ind w:firstLine="400" w:firstLineChars="200"/>
              <w:jc w:val="center"/>
              <w:rPr>
                <w:rFonts w:ascii="宋体" w:hAnsi="宋体"/>
                <w:color w:val="000000"/>
                <w:kern w:val="0"/>
                <w:sz w:val="20"/>
                <w:szCs w:val="20"/>
              </w:rPr>
            </w:pPr>
            <w:r>
              <w:rPr>
                <w:rFonts w:hint="eastAsia" w:ascii="宋体" w:hAnsi="宋体"/>
                <w:color w:val="000000"/>
                <w:kern w:val="0"/>
                <w:sz w:val="20"/>
                <w:szCs w:val="20"/>
              </w:rPr>
              <w:t>　不适用</w:t>
            </w:r>
          </w:p>
        </w:tc>
      </w:tr>
      <w:tr>
        <w:tblPrEx>
          <w:tblCellMar>
            <w:top w:w="0" w:type="dxa"/>
            <w:left w:w="108" w:type="dxa"/>
            <w:bottom w:w="0" w:type="dxa"/>
            <w:right w:w="108" w:type="dxa"/>
          </w:tblCellMar>
        </w:tblPrEx>
        <w:trPr>
          <w:trHeight w:val="282" w:hRule="atLeast"/>
          <w:jc w:val="center"/>
        </w:trPr>
        <w:tc>
          <w:tcPr>
            <w:tcW w:w="1996" w:type="pct"/>
            <w:gridSpan w:val="5"/>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募集资金投资项目</w:t>
            </w:r>
          </w:p>
          <w:p>
            <w:pPr>
              <w:widowControl/>
              <w:jc w:val="center"/>
              <w:rPr>
                <w:rFonts w:ascii="宋体" w:hAnsi="宋体"/>
                <w:color w:val="000000"/>
                <w:kern w:val="0"/>
                <w:sz w:val="20"/>
                <w:szCs w:val="20"/>
              </w:rPr>
            </w:pPr>
            <w:r>
              <w:rPr>
                <w:rFonts w:hint="eastAsia" w:ascii="宋体" w:hAnsi="宋体"/>
                <w:color w:val="000000"/>
                <w:kern w:val="0"/>
                <w:sz w:val="20"/>
                <w:szCs w:val="20"/>
              </w:rPr>
              <w:t>先期投入及置换情况</w:t>
            </w:r>
          </w:p>
        </w:tc>
        <w:tc>
          <w:tcPr>
            <w:tcW w:w="3004" w:type="pct"/>
            <w:gridSpan w:val="8"/>
            <w:tcBorders>
              <w:bottom w:val="single" w:color="auto" w:sz="4" w:space="0"/>
              <w:right w:val="single" w:color="auto" w:sz="4" w:space="0"/>
            </w:tcBorders>
            <w:shd w:val="clear" w:color="auto" w:fill="auto"/>
            <w:vAlign w:val="center"/>
          </w:tcPr>
          <w:p>
            <w:pPr>
              <w:widowControl/>
              <w:ind w:firstLine="400" w:firstLineChars="200"/>
              <w:jc w:val="left"/>
              <w:rPr>
                <w:rFonts w:ascii="宋体" w:hAnsi="宋体"/>
                <w:color w:val="000000"/>
                <w:kern w:val="0"/>
                <w:sz w:val="20"/>
                <w:szCs w:val="20"/>
              </w:rPr>
            </w:pPr>
            <w:r>
              <w:rPr>
                <w:rFonts w:hint="eastAsia"/>
                <w:sz w:val="20"/>
                <w:szCs w:val="20"/>
              </w:rPr>
              <w:t>公司于</w:t>
            </w:r>
            <w:r>
              <w:rPr>
                <w:sz w:val="20"/>
                <w:szCs w:val="20"/>
              </w:rPr>
              <w:t>2020</w:t>
            </w:r>
            <w:r>
              <w:rPr>
                <w:rFonts w:hint="eastAsia"/>
                <w:sz w:val="20"/>
                <w:szCs w:val="20"/>
              </w:rPr>
              <w:t>年</w:t>
            </w:r>
            <w:r>
              <w:rPr>
                <w:sz w:val="20"/>
                <w:szCs w:val="20"/>
              </w:rPr>
              <w:t>6</w:t>
            </w:r>
            <w:r>
              <w:rPr>
                <w:rFonts w:hint="eastAsia"/>
                <w:sz w:val="20"/>
                <w:szCs w:val="20"/>
              </w:rPr>
              <w:t>月</w:t>
            </w:r>
            <w:r>
              <w:rPr>
                <w:sz w:val="20"/>
                <w:szCs w:val="20"/>
              </w:rPr>
              <w:t>23</w:t>
            </w:r>
            <w:r>
              <w:rPr>
                <w:rFonts w:hint="eastAsia"/>
                <w:sz w:val="20"/>
                <w:szCs w:val="20"/>
              </w:rPr>
              <w:t>日召开第二届董事会第十七次会议和第二届监事会第十二次会议，审议通过了《关于使用募集资金置换预先投入募投项目及已支付发行费用的自筹资金的议案》，同意公司使用募集资金</w:t>
            </w:r>
            <w:r>
              <w:rPr>
                <w:sz w:val="20"/>
                <w:szCs w:val="20"/>
              </w:rPr>
              <w:t>2,538.02</w:t>
            </w:r>
            <w:r>
              <w:rPr>
                <w:rFonts w:hint="eastAsia"/>
                <w:sz w:val="20"/>
                <w:szCs w:val="20"/>
              </w:rPr>
              <w:t>万元置换预先投入募集资金投资项目的自筹资金、使用募集资金</w:t>
            </w:r>
            <w:r>
              <w:rPr>
                <w:sz w:val="20"/>
                <w:szCs w:val="20"/>
              </w:rPr>
              <w:t>305.19</w:t>
            </w:r>
            <w:r>
              <w:rPr>
                <w:rFonts w:hint="eastAsia"/>
                <w:sz w:val="20"/>
                <w:szCs w:val="20"/>
              </w:rPr>
              <w:t>万元置换以自筹资金预先支付的发行费用扣除以募集资金支付的发行费用增值税后净额。截至</w:t>
            </w:r>
            <w:r>
              <w:rPr>
                <w:sz w:val="20"/>
                <w:szCs w:val="20"/>
              </w:rPr>
              <w:t>2020</w:t>
            </w:r>
            <w:r>
              <w:rPr>
                <w:rFonts w:hint="eastAsia"/>
                <w:sz w:val="20"/>
                <w:szCs w:val="20"/>
              </w:rPr>
              <w:t>年</w:t>
            </w:r>
            <w:r>
              <w:rPr>
                <w:sz w:val="20"/>
                <w:szCs w:val="20"/>
              </w:rPr>
              <w:t>12</w:t>
            </w:r>
            <w:r>
              <w:rPr>
                <w:rFonts w:hint="eastAsia"/>
                <w:sz w:val="20"/>
                <w:szCs w:val="20"/>
              </w:rPr>
              <w:t>月</w:t>
            </w:r>
            <w:r>
              <w:rPr>
                <w:sz w:val="20"/>
                <w:szCs w:val="20"/>
              </w:rPr>
              <w:t>31</w:t>
            </w:r>
            <w:r>
              <w:rPr>
                <w:rFonts w:hint="eastAsia"/>
                <w:sz w:val="20"/>
                <w:szCs w:val="20"/>
              </w:rPr>
              <w:t>日，置换资金已从募集资金账户中转出2609.51万元。</w:t>
            </w:r>
            <w:r>
              <w:rPr>
                <w:sz w:val="20"/>
                <w:szCs w:val="20"/>
              </w:rPr>
              <w:t xml:space="preserve"> </w:t>
            </w:r>
          </w:p>
        </w:tc>
      </w:tr>
      <w:tr>
        <w:tblPrEx>
          <w:tblCellMar>
            <w:top w:w="0" w:type="dxa"/>
            <w:left w:w="108" w:type="dxa"/>
            <w:bottom w:w="0" w:type="dxa"/>
            <w:right w:w="108" w:type="dxa"/>
          </w:tblCellMar>
        </w:tblPrEx>
        <w:trPr>
          <w:trHeight w:val="282" w:hRule="atLeast"/>
          <w:jc w:val="center"/>
        </w:trPr>
        <w:tc>
          <w:tcPr>
            <w:tcW w:w="1996" w:type="pct"/>
            <w:gridSpan w:val="5"/>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用闲置募集资金</w:t>
            </w:r>
          </w:p>
          <w:p>
            <w:pPr>
              <w:widowControl/>
              <w:jc w:val="center"/>
              <w:rPr>
                <w:rFonts w:ascii="宋体" w:hAnsi="宋体"/>
                <w:color w:val="000000"/>
                <w:kern w:val="0"/>
                <w:sz w:val="20"/>
                <w:szCs w:val="20"/>
              </w:rPr>
            </w:pPr>
            <w:r>
              <w:rPr>
                <w:rFonts w:hint="eastAsia" w:ascii="宋体" w:hAnsi="宋体"/>
                <w:color w:val="000000"/>
                <w:kern w:val="0"/>
                <w:sz w:val="20"/>
                <w:szCs w:val="20"/>
              </w:rPr>
              <w:t>暂时补充流动资金情况</w:t>
            </w:r>
          </w:p>
        </w:tc>
        <w:tc>
          <w:tcPr>
            <w:tcW w:w="3004" w:type="pct"/>
            <w:gridSpan w:val="8"/>
            <w:tcBorders>
              <w:top w:val="single" w:color="auto" w:sz="4" w:space="0"/>
              <w:bottom w:val="single" w:color="auto" w:sz="4" w:space="0"/>
              <w:right w:val="single" w:color="auto" w:sz="4" w:space="0"/>
            </w:tcBorders>
            <w:shd w:val="clear" w:color="auto" w:fill="auto"/>
            <w:vAlign w:val="center"/>
          </w:tcPr>
          <w:p>
            <w:pPr>
              <w:widowControl/>
              <w:ind w:firstLine="400" w:firstLineChars="200"/>
              <w:jc w:val="left"/>
              <w:rPr>
                <w:rFonts w:ascii="宋体" w:hAnsi="宋体"/>
                <w:color w:val="000000"/>
                <w:kern w:val="0"/>
                <w:sz w:val="20"/>
                <w:szCs w:val="20"/>
              </w:rPr>
            </w:pPr>
            <w:r>
              <w:rPr>
                <w:rFonts w:hint="eastAsia"/>
                <w:sz w:val="20"/>
                <w:szCs w:val="20"/>
              </w:rPr>
              <w:t>公司于</w:t>
            </w:r>
            <w:r>
              <w:rPr>
                <w:sz w:val="20"/>
                <w:szCs w:val="20"/>
              </w:rPr>
              <w:t>2020</w:t>
            </w:r>
            <w:r>
              <w:rPr>
                <w:rFonts w:hint="eastAsia"/>
                <w:sz w:val="20"/>
                <w:szCs w:val="20"/>
              </w:rPr>
              <w:t>年</w:t>
            </w:r>
            <w:r>
              <w:rPr>
                <w:sz w:val="20"/>
                <w:szCs w:val="20"/>
              </w:rPr>
              <w:t>6</w:t>
            </w:r>
            <w:r>
              <w:rPr>
                <w:rFonts w:hint="eastAsia"/>
                <w:sz w:val="20"/>
                <w:szCs w:val="20"/>
              </w:rPr>
              <w:t>月</w:t>
            </w:r>
            <w:r>
              <w:rPr>
                <w:sz w:val="20"/>
                <w:szCs w:val="20"/>
              </w:rPr>
              <w:t>23</w:t>
            </w:r>
            <w:r>
              <w:rPr>
                <w:rFonts w:hint="eastAsia"/>
                <w:sz w:val="20"/>
                <w:szCs w:val="20"/>
              </w:rPr>
              <w:t>日召开第二届董事会第十七次会议、第二届监事会第十二次会议，审议通过了《关于使用闲置募集资金暂时补充流动资金的议案》，同意使用额度不超过人民币</w:t>
            </w:r>
            <w:r>
              <w:rPr>
                <w:sz w:val="20"/>
                <w:szCs w:val="20"/>
              </w:rPr>
              <w:t>6,000</w:t>
            </w:r>
            <w:r>
              <w:rPr>
                <w:rFonts w:hint="eastAsia"/>
                <w:sz w:val="20"/>
                <w:szCs w:val="20"/>
              </w:rPr>
              <w:t>万元暂时补充流动资金，单次补充流动资金时间不得超过</w:t>
            </w:r>
            <w:r>
              <w:rPr>
                <w:sz w:val="20"/>
                <w:szCs w:val="20"/>
              </w:rPr>
              <w:t>12</w:t>
            </w:r>
            <w:r>
              <w:rPr>
                <w:rFonts w:hint="eastAsia"/>
                <w:sz w:val="20"/>
                <w:szCs w:val="20"/>
              </w:rPr>
              <w:t>个月。</w:t>
            </w:r>
            <w:r>
              <w:rPr>
                <w:sz w:val="20"/>
                <w:szCs w:val="20"/>
              </w:rPr>
              <w:t xml:space="preserve"> </w:t>
            </w:r>
          </w:p>
        </w:tc>
      </w:tr>
      <w:tr>
        <w:tblPrEx>
          <w:tblCellMar>
            <w:top w:w="0" w:type="dxa"/>
            <w:left w:w="108" w:type="dxa"/>
            <w:bottom w:w="0" w:type="dxa"/>
            <w:right w:w="108" w:type="dxa"/>
          </w:tblCellMar>
        </w:tblPrEx>
        <w:trPr>
          <w:trHeight w:val="282" w:hRule="atLeast"/>
          <w:jc w:val="center"/>
        </w:trPr>
        <w:tc>
          <w:tcPr>
            <w:tcW w:w="1996" w:type="pct"/>
            <w:gridSpan w:val="5"/>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sz w:val="20"/>
                <w:szCs w:val="20"/>
              </w:rPr>
            </w:pPr>
            <w:r>
              <w:rPr>
                <w:rFonts w:hint="eastAsia" w:ascii="宋体" w:hAnsi="宋体"/>
                <w:sz w:val="20"/>
                <w:szCs w:val="20"/>
              </w:rPr>
              <w:t>对闲置募集资金进行</w:t>
            </w:r>
          </w:p>
          <w:p>
            <w:pPr>
              <w:widowControl/>
              <w:jc w:val="center"/>
              <w:rPr>
                <w:rFonts w:ascii="宋体" w:hAnsi="宋体"/>
                <w:color w:val="000000"/>
                <w:kern w:val="0"/>
                <w:sz w:val="20"/>
                <w:szCs w:val="20"/>
              </w:rPr>
            </w:pPr>
            <w:r>
              <w:rPr>
                <w:rFonts w:hint="eastAsia" w:ascii="宋体" w:hAnsi="宋体"/>
                <w:sz w:val="20"/>
                <w:szCs w:val="20"/>
              </w:rPr>
              <w:t>现金管理，投资相关产品情况</w:t>
            </w:r>
          </w:p>
        </w:tc>
        <w:tc>
          <w:tcPr>
            <w:tcW w:w="3004" w:type="pct"/>
            <w:gridSpan w:val="8"/>
            <w:tcBorders>
              <w:top w:val="single" w:color="auto" w:sz="4" w:space="0"/>
              <w:right w:val="single" w:color="auto" w:sz="4" w:space="0"/>
            </w:tcBorders>
            <w:shd w:val="clear" w:color="auto" w:fill="auto"/>
            <w:vAlign w:val="center"/>
          </w:tcPr>
          <w:p>
            <w:pPr>
              <w:widowControl/>
              <w:ind w:firstLine="400" w:firstLineChars="200"/>
              <w:jc w:val="left"/>
              <w:rPr>
                <w:rFonts w:ascii="宋体" w:hAnsi="宋体"/>
                <w:color w:val="000000"/>
                <w:kern w:val="0"/>
                <w:sz w:val="20"/>
                <w:szCs w:val="20"/>
              </w:rPr>
            </w:pPr>
            <w:r>
              <w:rPr>
                <w:rFonts w:hint="eastAsia"/>
                <w:sz w:val="20"/>
                <w:szCs w:val="20"/>
              </w:rPr>
              <w:t>公司于</w:t>
            </w:r>
            <w:r>
              <w:rPr>
                <w:sz w:val="20"/>
                <w:szCs w:val="20"/>
              </w:rPr>
              <w:t>2020</w:t>
            </w:r>
            <w:r>
              <w:rPr>
                <w:rFonts w:hint="eastAsia"/>
                <w:sz w:val="20"/>
                <w:szCs w:val="20"/>
              </w:rPr>
              <w:t>年</w:t>
            </w:r>
            <w:r>
              <w:rPr>
                <w:sz w:val="20"/>
                <w:szCs w:val="20"/>
              </w:rPr>
              <w:t>2</w:t>
            </w:r>
            <w:r>
              <w:rPr>
                <w:rFonts w:hint="eastAsia"/>
                <w:sz w:val="20"/>
                <w:szCs w:val="20"/>
              </w:rPr>
              <w:t>月</w:t>
            </w:r>
            <w:r>
              <w:rPr>
                <w:sz w:val="20"/>
                <w:szCs w:val="20"/>
              </w:rPr>
              <w:t>14</w:t>
            </w:r>
            <w:r>
              <w:rPr>
                <w:rFonts w:hint="eastAsia"/>
                <w:sz w:val="20"/>
                <w:szCs w:val="20"/>
              </w:rPr>
              <w:t>日召开了第二届董事会第十五次会议和第二届监事会第十次会议，审议通过了《关于公司使用部分暂时闲置募集资金进行现金管理的议案》，同意使用额度不超过人民币</w:t>
            </w:r>
            <w:r>
              <w:rPr>
                <w:sz w:val="20"/>
                <w:szCs w:val="20"/>
              </w:rPr>
              <w:t>3.50</w:t>
            </w:r>
            <w:r>
              <w:rPr>
                <w:rFonts w:hint="eastAsia"/>
                <w:sz w:val="20"/>
                <w:szCs w:val="20"/>
              </w:rPr>
              <w:t>亿元的闲置募集资金进行现金管理。截至</w:t>
            </w:r>
            <w:r>
              <w:rPr>
                <w:sz w:val="20"/>
                <w:szCs w:val="20"/>
              </w:rPr>
              <w:t>2020</w:t>
            </w:r>
            <w:r>
              <w:rPr>
                <w:rFonts w:hint="eastAsia"/>
                <w:sz w:val="20"/>
                <w:szCs w:val="20"/>
              </w:rPr>
              <w:t>年</w:t>
            </w:r>
            <w:r>
              <w:rPr>
                <w:sz w:val="20"/>
                <w:szCs w:val="20"/>
              </w:rPr>
              <w:t>12</w:t>
            </w:r>
            <w:r>
              <w:rPr>
                <w:rFonts w:hint="eastAsia"/>
                <w:sz w:val="20"/>
                <w:szCs w:val="20"/>
              </w:rPr>
              <w:t>月</w:t>
            </w:r>
            <w:r>
              <w:rPr>
                <w:sz w:val="20"/>
                <w:szCs w:val="20"/>
              </w:rPr>
              <w:t>31</w:t>
            </w:r>
            <w:r>
              <w:rPr>
                <w:rFonts w:hint="eastAsia"/>
                <w:sz w:val="20"/>
                <w:szCs w:val="20"/>
              </w:rPr>
              <w:t>日，使用闲置募集资金现金管理的余额为</w:t>
            </w:r>
            <w:r>
              <w:rPr>
                <w:sz w:val="20"/>
                <w:szCs w:val="20"/>
              </w:rPr>
              <w:t>16,700</w:t>
            </w:r>
            <w:r>
              <w:rPr>
                <w:rFonts w:hint="eastAsia"/>
                <w:sz w:val="20"/>
                <w:szCs w:val="20"/>
              </w:rPr>
              <w:t>万元。</w:t>
            </w:r>
            <w:r>
              <w:rPr>
                <w:sz w:val="20"/>
                <w:szCs w:val="20"/>
              </w:rPr>
              <w:t xml:space="preserve"> </w:t>
            </w:r>
          </w:p>
        </w:tc>
      </w:tr>
      <w:tr>
        <w:tblPrEx>
          <w:tblCellMar>
            <w:top w:w="0" w:type="dxa"/>
            <w:left w:w="108" w:type="dxa"/>
            <w:bottom w:w="0" w:type="dxa"/>
            <w:right w:w="108" w:type="dxa"/>
          </w:tblCellMar>
        </w:tblPrEx>
        <w:trPr>
          <w:trHeight w:val="282" w:hRule="atLeast"/>
          <w:jc w:val="center"/>
        </w:trPr>
        <w:tc>
          <w:tcPr>
            <w:tcW w:w="1996" w:type="pct"/>
            <w:gridSpan w:val="5"/>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sz w:val="20"/>
                <w:szCs w:val="20"/>
              </w:rPr>
            </w:pPr>
            <w:r>
              <w:rPr>
                <w:rFonts w:hint="eastAsia" w:ascii="宋体" w:hAnsi="宋体"/>
                <w:sz w:val="20"/>
                <w:szCs w:val="20"/>
              </w:rPr>
              <w:t>用超募资金永久补充流动资金</w:t>
            </w:r>
          </w:p>
          <w:p>
            <w:pPr>
              <w:widowControl/>
              <w:jc w:val="center"/>
              <w:rPr>
                <w:rFonts w:ascii="宋体" w:hAnsi="宋体"/>
                <w:sz w:val="20"/>
                <w:szCs w:val="20"/>
              </w:rPr>
            </w:pPr>
            <w:r>
              <w:rPr>
                <w:rFonts w:hint="eastAsia" w:ascii="宋体" w:hAnsi="宋体"/>
                <w:sz w:val="20"/>
                <w:szCs w:val="20"/>
              </w:rPr>
              <w:t>或归还银行贷款情况</w:t>
            </w:r>
          </w:p>
        </w:tc>
        <w:tc>
          <w:tcPr>
            <w:tcW w:w="3004" w:type="pct"/>
            <w:gridSpan w:val="8"/>
            <w:tcBorders>
              <w:top w:val="single" w:color="auto" w:sz="4" w:space="0"/>
              <w:left w:val="nil"/>
              <w:bottom w:val="single" w:color="auto" w:sz="4" w:space="0"/>
              <w:right w:val="single" w:color="000000" w:sz="8" w:space="0"/>
            </w:tcBorders>
            <w:vAlign w:val="center"/>
          </w:tcPr>
          <w:p>
            <w:pPr>
              <w:widowControl/>
              <w:ind w:firstLine="400" w:firstLineChars="200"/>
              <w:jc w:val="center"/>
              <w:rPr>
                <w:rFonts w:ascii="宋体" w:hAnsi="宋体"/>
                <w:color w:val="000000"/>
                <w:kern w:val="0"/>
                <w:sz w:val="20"/>
                <w:szCs w:val="20"/>
              </w:rPr>
            </w:pPr>
            <w:r>
              <w:rPr>
                <w:rFonts w:hint="eastAsia" w:ascii="宋体" w:hAnsi="宋体"/>
                <w:color w:val="000000"/>
                <w:kern w:val="0"/>
                <w:sz w:val="20"/>
                <w:szCs w:val="20"/>
              </w:rPr>
              <w:t>不适用</w:t>
            </w:r>
          </w:p>
        </w:tc>
      </w:tr>
      <w:tr>
        <w:tblPrEx>
          <w:tblCellMar>
            <w:top w:w="0" w:type="dxa"/>
            <w:left w:w="108" w:type="dxa"/>
            <w:bottom w:w="0" w:type="dxa"/>
            <w:right w:w="108" w:type="dxa"/>
          </w:tblCellMar>
        </w:tblPrEx>
        <w:trPr>
          <w:trHeight w:val="282" w:hRule="atLeast"/>
          <w:jc w:val="center"/>
        </w:trPr>
        <w:tc>
          <w:tcPr>
            <w:tcW w:w="1996" w:type="pct"/>
            <w:gridSpan w:val="5"/>
            <w:tcBorders>
              <w:top w:val="single" w:color="auto" w:sz="4" w:space="0"/>
              <w:left w:val="single" w:color="auto" w:sz="8" w:space="0"/>
              <w:bottom w:val="single" w:color="auto" w:sz="4"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募集资金结余的金额及形成原因</w:t>
            </w:r>
          </w:p>
        </w:tc>
        <w:tc>
          <w:tcPr>
            <w:tcW w:w="3004" w:type="pct"/>
            <w:gridSpan w:val="8"/>
            <w:tcBorders>
              <w:top w:val="single" w:color="auto" w:sz="4" w:space="0"/>
              <w:left w:val="nil"/>
              <w:bottom w:val="single" w:color="auto" w:sz="4" w:space="0"/>
              <w:right w:val="single" w:color="000000" w:sz="8" w:space="0"/>
            </w:tcBorders>
            <w:vAlign w:val="center"/>
          </w:tcPr>
          <w:p>
            <w:pPr>
              <w:widowControl/>
              <w:ind w:firstLine="400" w:firstLineChars="200"/>
              <w:jc w:val="center"/>
              <w:rPr>
                <w:rFonts w:ascii="宋体" w:hAnsi="宋体"/>
                <w:color w:val="000000"/>
                <w:kern w:val="0"/>
                <w:sz w:val="20"/>
                <w:szCs w:val="20"/>
              </w:rPr>
            </w:pPr>
            <w:r>
              <w:rPr>
                <w:rFonts w:hint="eastAsia" w:ascii="宋体" w:hAnsi="宋体"/>
                <w:color w:val="000000"/>
                <w:kern w:val="0"/>
                <w:sz w:val="20"/>
                <w:szCs w:val="20"/>
              </w:rPr>
              <w:t>不适用　</w:t>
            </w:r>
          </w:p>
        </w:tc>
      </w:tr>
      <w:tr>
        <w:tblPrEx>
          <w:tblCellMar>
            <w:top w:w="0" w:type="dxa"/>
            <w:left w:w="108" w:type="dxa"/>
            <w:bottom w:w="0" w:type="dxa"/>
            <w:right w:w="108" w:type="dxa"/>
          </w:tblCellMar>
        </w:tblPrEx>
        <w:trPr>
          <w:trHeight w:val="395" w:hRule="atLeast"/>
          <w:jc w:val="center"/>
        </w:trPr>
        <w:tc>
          <w:tcPr>
            <w:tcW w:w="1996" w:type="pct"/>
            <w:gridSpan w:val="5"/>
            <w:tcBorders>
              <w:top w:val="single" w:color="auto" w:sz="4" w:space="0"/>
              <w:left w:val="single" w:color="auto" w:sz="8" w:space="0"/>
              <w:bottom w:val="single" w:color="auto" w:sz="8" w:space="0"/>
              <w:right w:val="single" w:color="auto" w:sz="4" w:space="0"/>
            </w:tcBorders>
            <w:vAlign w:val="center"/>
          </w:tcPr>
          <w:p>
            <w:pPr>
              <w:widowControl/>
              <w:jc w:val="center"/>
              <w:rPr>
                <w:rFonts w:ascii="宋体" w:hAnsi="宋体"/>
                <w:color w:val="000000"/>
                <w:kern w:val="0"/>
                <w:sz w:val="20"/>
                <w:szCs w:val="20"/>
              </w:rPr>
            </w:pPr>
            <w:r>
              <w:rPr>
                <w:rFonts w:hint="eastAsia" w:ascii="宋体" w:hAnsi="宋体"/>
                <w:color w:val="000000"/>
                <w:kern w:val="0"/>
                <w:sz w:val="20"/>
                <w:szCs w:val="20"/>
              </w:rPr>
              <w:t>募集资金其他使用情况</w:t>
            </w:r>
          </w:p>
        </w:tc>
        <w:tc>
          <w:tcPr>
            <w:tcW w:w="3004" w:type="pct"/>
            <w:gridSpan w:val="8"/>
            <w:tcBorders>
              <w:top w:val="single" w:color="auto" w:sz="4" w:space="0"/>
              <w:left w:val="nil"/>
              <w:bottom w:val="single" w:color="auto" w:sz="8" w:space="0"/>
              <w:right w:val="single" w:color="000000" w:sz="8" w:space="0"/>
            </w:tcBorders>
            <w:vAlign w:val="center"/>
          </w:tcPr>
          <w:p>
            <w:pPr>
              <w:widowControl/>
              <w:ind w:firstLine="400" w:firstLineChars="200"/>
              <w:jc w:val="center"/>
              <w:rPr>
                <w:rFonts w:ascii="宋体" w:hAnsi="宋体"/>
                <w:color w:val="000000"/>
                <w:kern w:val="0"/>
                <w:sz w:val="20"/>
                <w:szCs w:val="20"/>
              </w:rPr>
            </w:pPr>
            <w:r>
              <w:rPr>
                <w:rFonts w:hint="eastAsia" w:ascii="宋体" w:hAnsi="宋体"/>
                <w:color w:val="000000"/>
                <w:kern w:val="0"/>
                <w:sz w:val="20"/>
                <w:szCs w:val="20"/>
              </w:rPr>
              <w:t>不适用　</w:t>
            </w:r>
          </w:p>
        </w:tc>
      </w:tr>
    </w:tbl>
    <w:p>
      <w:pPr>
        <w:widowControl/>
        <w:spacing w:line="440" w:lineRule="exact"/>
        <w:ind w:firstLine="400" w:firstLineChars="200"/>
        <w:jc w:val="left"/>
        <w:rPr>
          <w:rFonts w:ascii="宋体" w:hAnsi="宋体" w:cs="宋体"/>
          <w:color w:val="000000"/>
          <w:kern w:val="0"/>
          <w:sz w:val="20"/>
          <w:szCs w:val="20"/>
        </w:rPr>
      </w:pPr>
      <w:r>
        <w:rPr>
          <w:rFonts w:hint="eastAsia" w:ascii="宋体" w:hAnsi="宋体" w:cs="宋体"/>
          <w:color w:val="000000"/>
          <w:kern w:val="0"/>
          <w:sz w:val="20"/>
          <w:szCs w:val="20"/>
        </w:rPr>
        <w:t>注1：上表单项数据相加与合计数存在的尾数差异系小数点四舍五入导致。</w:t>
      </w:r>
    </w:p>
    <w:p>
      <w:pPr>
        <w:widowControl/>
        <w:spacing w:line="440" w:lineRule="exact"/>
        <w:ind w:firstLine="400" w:firstLineChars="200"/>
        <w:jc w:val="left"/>
        <w:rPr>
          <w:rFonts w:ascii="宋体" w:hAnsi="宋体"/>
          <w:color w:val="000000"/>
          <w:sz w:val="24"/>
        </w:rPr>
      </w:pPr>
      <w:r>
        <w:rPr>
          <w:rFonts w:hint="eastAsia" w:ascii="宋体" w:hAnsi="宋体" w:cs="宋体"/>
          <w:color w:val="000000"/>
          <w:kern w:val="0"/>
          <w:sz w:val="20"/>
          <w:szCs w:val="20"/>
        </w:rPr>
        <w:t>注2：补充流动资金项目截至期末累计投入金额超过承诺投入金额的差额系利息收入投入导致。</w:t>
      </w:r>
    </w:p>
    <w:sectPr>
      <w:footerReference r:id="rId3" w:type="default"/>
      <w:footerReference r:id="rId4"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Arial"/>
    <w:panose1 w:val="020B0604020202020204"/>
    <w:charset w:val="80"/>
    <w:family w:val="swiss"/>
    <w:pitch w:val="default"/>
    <w:sig w:usb0="00000000" w:usb1="00000000" w:usb2="0000003F" w:usb3="00000000" w:csb0="003F01F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2"/>
      </w:rPr>
    </w:pPr>
    <w:r>
      <w:rPr>
        <w:rStyle w:val="12"/>
      </w:rPr>
      <w:fldChar w:fldCharType="begin"/>
    </w:r>
    <w:r>
      <w:rPr>
        <w:rStyle w:val="12"/>
      </w:rPr>
      <w:instrText xml:space="preserve">PAGE  </w:instrText>
    </w:r>
    <w:r>
      <w:rPr>
        <w:rStyle w:val="12"/>
      </w:rPr>
      <w:fldChar w:fldCharType="separate"/>
    </w:r>
    <w:r>
      <w:rPr>
        <w:rStyle w:val="12"/>
      </w:rPr>
      <w:t>8</w:t>
    </w:r>
    <w:r>
      <w:rPr>
        <w:rStyle w:val="12"/>
      </w:rP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2"/>
      </w:rPr>
    </w:pPr>
    <w:r>
      <w:rPr>
        <w:rStyle w:val="12"/>
      </w:rPr>
      <w:fldChar w:fldCharType="begin"/>
    </w:r>
    <w:r>
      <w:rPr>
        <w:rStyle w:val="12"/>
      </w:rPr>
      <w:instrText xml:space="preserve">PAGE  </w:instrText>
    </w:r>
    <w:r>
      <w:rPr>
        <w:rStyle w:val="12"/>
      </w:rP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C7C"/>
    <w:rsid w:val="000201D2"/>
    <w:rsid w:val="000356B5"/>
    <w:rsid w:val="0004213D"/>
    <w:rsid w:val="00087E1F"/>
    <w:rsid w:val="000A440C"/>
    <w:rsid w:val="000A6003"/>
    <w:rsid w:val="000E529D"/>
    <w:rsid w:val="0011097F"/>
    <w:rsid w:val="0011686C"/>
    <w:rsid w:val="00172D5B"/>
    <w:rsid w:val="001B2CA0"/>
    <w:rsid w:val="001D7FF9"/>
    <w:rsid w:val="001E1DD5"/>
    <w:rsid w:val="001F59D8"/>
    <w:rsid w:val="00221D07"/>
    <w:rsid w:val="00225791"/>
    <w:rsid w:val="00257B1B"/>
    <w:rsid w:val="002626B6"/>
    <w:rsid w:val="0027435B"/>
    <w:rsid w:val="00280F84"/>
    <w:rsid w:val="00282AE5"/>
    <w:rsid w:val="002A67BC"/>
    <w:rsid w:val="002B0815"/>
    <w:rsid w:val="00363E3A"/>
    <w:rsid w:val="003662D1"/>
    <w:rsid w:val="00370EF6"/>
    <w:rsid w:val="00386C7C"/>
    <w:rsid w:val="003C2F5D"/>
    <w:rsid w:val="00427699"/>
    <w:rsid w:val="004424A2"/>
    <w:rsid w:val="00466F67"/>
    <w:rsid w:val="004A14DA"/>
    <w:rsid w:val="004A7183"/>
    <w:rsid w:val="004B0F22"/>
    <w:rsid w:val="004C505B"/>
    <w:rsid w:val="0052689B"/>
    <w:rsid w:val="00576D62"/>
    <w:rsid w:val="005B4EE1"/>
    <w:rsid w:val="005E5C51"/>
    <w:rsid w:val="0066304F"/>
    <w:rsid w:val="006743EA"/>
    <w:rsid w:val="006C4D43"/>
    <w:rsid w:val="006E67E4"/>
    <w:rsid w:val="006F07B5"/>
    <w:rsid w:val="00725727"/>
    <w:rsid w:val="007301EE"/>
    <w:rsid w:val="007454A1"/>
    <w:rsid w:val="007A79C7"/>
    <w:rsid w:val="007C6D45"/>
    <w:rsid w:val="007F40E0"/>
    <w:rsid w:val="008042DF"/>
    <w:rsid w:val="00866C56"/>
    <w:rsid w:val="0087220E"/>
    <w:rsid w:val="00896D9E"/>
    <w:rsid w:val="008D0286"/>
    <w:rsid w:val="008E5C8D"/>
    <w:rsid w:val="0092409C"/>
    <w:rsid w:val="009332AB"/>
    <w:rsid w:val="0094017E"/>
    <w:rsid w:val="009959D8"/>
    <w:rsid w:val="009D7B5B"/>
    <w:rsid w:val="00A20BD7"/>
    <w:rsid w:val="00A66AFC"/>
    <w:rsid w:val="00A670A5"/>
    <w:rsid w:val="00A85A6B"/>
    <w:rsid w:val="00AD3ED2"/>
    <w:rsid w:val="00B07583"/>
    <w:rsid w:val="00B24B68"/>
    <w:rsid w:val="00BC1D45"/>
    <w:rsid w:val="00C2362B"/>
    <w:rsid w:val="00C565CC"/>
    <w:rsid w:val="00C5782C"/>
    <w:rsid w:val="00C915F0"/>
    <w:rsid w:val="00CC3DEF"/>
    <w:rsid w:val="00CD5394"/>
    <w:rsid w:val="00CE2EE9"/>
    <w:rsid w:val="00CF795E"/>
    <w:rsid w:val="00D41DA2"/>
    <w:rsid w:val="00DA798F"/>
    <w:rsid w:val="00DE086C"/>
    <w:rsid w:val="00DF1AC8"/>
    <w:rsid w:val="00E02116"/>
    <w:rsid w:val="00E02E2B"/>
    <w:rsid w:val="00E51603"/>
    <w:rsid w:val="00E65FEE"/>
    <w:rsid w:val="00E82AB1"/>
    <w:rsid w:val="00E91A28"/>
    <w:rsid w:val="00F50C2B"/>
    <w:rsid w:val="00FA6DAE"/>
    <w:rsid w:val="00FB0FB3"/>
    <w:rsid w:val="00FD127F"/>
    <w:rsid w:val="00FD298E"/>
    <w:rsid w:val="00FD76DE"/>
    <w:rsid w:val="00FE3BCD"/>
    <w:rsid w:val="01874C0A"/>
    <w:rsid w:val="024347C4"/>
    <w:rsid w:val="026D7318"/>
    <w:rsid w:val="03104DAC"/>
    <w:rsid w:val="043B02DB"/>
    <w:rsid w:val="050C148E"/>
    <w:rsid w:val="0BAE7A37"/>
    <w:rsid w:val="0DB672A2"/>
    <w:rsid w:val="0E571B35"/>
    <w:rsid w:val="0FFB3865"/>
    <w:rsid w:val="0FFF4390"/>
    <w:rsid w:val="10AA7860"/>
    <w:rsid w:val="11A85046"/>
    <w:rsid w:val="125832EE"/>
    <w:rsid w:val="15826B5C"/>
    <w:rsid w:val="166D0697"/>
    <w:rsid w:val="16BA2CAE"/>
    <w:rsid w:val="17E01C10"/>
    <w:rsid w:val="19C84368"/>
    <w:rsid w:val="19D97F74"/>
    <w:rsid w:val="1A711E54"/>
    <w:rsid w:val="1BA361B7"/>
    <w:rsid w:val="1DF53052"/>
    <w:rsid w:val="1F8A14EA"/>
    <w:rsid w:val="1FF21AA4"/>
    <w:rsid w:val="201A30B3"/>
    <w:rsid w:val="226962F7"/>
    <w:rsid w:val="22D10199"/>
    <w:rsid w:val="24490314"/>
    <w:rsid w:val="24954BDF"/>
    <w:rsid w:val="260217A5"/>
    <w:rsid w:val="263C182D"/>
    <w:rsid w:val="286103AD"/>
    <w:rsid w:val="286F43AC"/>
    <w:rsid w:val="2A0F1A13"/>
    <w:rsid w:val="2BAE5CC1"/>
    <w:rsid w:val="2BD705D0"/>
    <w:rsid w:val="2BDA0E3D"/>
    <w:rsid w:val="2C563519"/>
    <w:rsid w:val="2EDE1294"/>
    <w:rsid w:val="2F4B3F29"/>
    <w:rsid w:val="3183187F"/>
    <w:rsid w:val="323C6050"/>
    <w:rsid w:val="3A69515E"/>
    <w:rsid w:val="3FDE1487"/>
    <w:rsid w:val="41EB5D86"/>
    <w:rsid w:val="43AC1441"/>
    <w:rsid w:val="46494522"/>
    <w:rsid w:val="46626093"/>
    <w:rsid w:val="4C1D1B66"/>
    <w:rsid w:val="4F7D16B3"/>
    <w:rsid w:val="509735F1"/>
    <w:rsid w:val="51CD092C"/>
    <w:rsid w:val="550215D8"/>
    <w:rsid w:val="574A54CE"/>
    <w:rsid w:val="58DC34CD"/>
    <w:rsid w:val="59064560"/>
    <w:rsid w:val="5991664A"/>
    <w:rsid w:val="59DF4548"/>
    <w:rsid w:val="5A0E0D76"/>
    <w:rsid w:val="5B231AAD"/>
    <w:rsid w:val="5B944EEC"/>
    <w:rsid w:val="5C744035"/>
    <w:rsid w:val="5CE75062"/>
    <w:rsid w:val="5F3A0740"/>
    <w:rsid w:val="60D90B16"/>
    <w:rsid w:val="612A5CAE"/>
    <w:rsid w:val="61A1086B"/>
    <w:rsid w:val="69BB5787"/>
    <w:rsid w:val="69D75993"/>
    <w:rsid w:val="6A282955"/>
    <w:rsid w:val="6ADA20B0"/>
    <w:rsid w:val="6B0B5B76"/>
    <w:rsid w:val="6F532098"/>
    <w:rsid w:val="6FA75898"/>
    <w:rsid w:val="703A436A"/>
    <w:rsid w:val="719E7CC1"/>
    <w:rsid w:val="73595A4D"/>
    <w:rsid w:val="742462DD"/>
    <w:rsid w:val="769675AA"/>
    <w:rsid w:val="77506BED"/>
    <w:rsid w:val="77697DE0"/>
    <w:rsid w:val="7842059A"/>
    <w:rsid w:val="796D4286"/>
    <w:rsid w:val="79C02815"/>
    <w:rsid w:val="7A5601D8"/>
    <w:rsid w:val="7EA82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semiHidden/>
    <w:unhideWhenUsed/>
    <w:qFormat/>
    <w:uiPriority w:val="99"/>
    <w:pPr>
      <w:jc w:val="left"/>
    </w:pPr>
  </w:style>
  <w:style w:type="paragraph" w:styleId="3">
    <w:name w:val="Balloon Text"/>
    <w:basedOn w:val="1"/>
    <w:link w:val="21"/>
    <w:semiHidden/>
    <w:unhideWhenUsed/>
    <w:qFormat/>
    <w:uiPriority w:val="99"/>
    <w:rPr>
      <w:sz w:val="18"/>
      <w:szCs w:val="18"/>
    </w:rPr>
  </w:style>
  <w:style w:type="paragraph" w:styleId="4">
    <w:name w:val="footer"/>
    <w:basedOn w:val="1"/>
    <w:link w:val="15"/>
    <w:qFormat/>
    <w:uiPriority w:val="0"/>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paragraph" w:styleId="7">
    <w:name w:val="Title"/>
    <w:basedOn w:val="1"/>
    <w:next w:val="1"/>
    <w:link w:val="14"/>
    <w:qFormat/>
    <w:uiPriority w:val="0"/>
    <w:pPr>
      <w:spacing w:before="240" w:after="60"/>
      <w:jc w:val="center"/>
      <w:outlineLvl w:val="0"/>
    </w:pPr>
    <w:rPr>
      <w:rFonts w:ascii="Cambria" w:hAnsi="Cambria"/>
      <w:b/>
      <w:bCs/>
      <w:sz w:val="32"/>
      <w:szCs w:val="32"/>
    </w:rPr>
  </w:style>
  <w:style w:type="paragraph" w:styleId="8">
    <w:name w:val="annotation subject"/>
    <w:basedOn w:val="2"/>
    <w:next w:val="2"/>
    <w:link w:val="20"/>
    <w:semiHidden/>
    <w:unhideWhenUsed/>
    <w:qFormat/>
    <w:uiPriority w:val="99"/>
    <w:rPr>
      <w:b/>
      <w:bCs/>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styleId="13">
    <w:name w:val="annotation reference"/>
    <w:basedOn w:val="11"/>
    <w:semiHidden/>
    <w:unhideWhenUsed/>
    <w:qFormat/>
    <w:uiPriority w:val="99"/>
    <w:rPr>
      <w:sz w:val="21"/>
      <w:szCs w:val="21"/>
    </w:rPr>
  </w:style>
  <w:style w:type="character" w:customStyle="1" w:styleId="14">
    <w:name w:val="标题 字符"/>
    <w:basedOn w:val="11"/>
    <w:link w:val="7"/>
    <w:qFormat/>
    <w:uiPriority w:val="0"/>
    <w:rPr>
      <w:rFonts w:ascii="Cambria" w:hAnsi="Cambria" w:eastAsia="宋体" w:cs="Times New Roman"/>
      <w:b/>
      <w:bCs/>
      <w:sz w:val="32"/>
      <w:szCs w:val="32"/>
    </w:rPr>
  </w:style>
  <w:style w:type="character" w:customStyle="1" w:styleId="15">
    <w:name w:val="页脚 字符"/>
    <w:basedOn w:val="11"/>
    <w:link w:val="4"/>
    <w:qFormat/>
    <w:uiPriority w:val="0"/>
    <w:rPr>
      <w:rFonts w:ascii="Times New Roman" w:hAnsi="Times New Roman" w:eastAsia="宋体" w:cs="Times New Roman"/>
      <w:sz w:val="18"/>
      <w:szCs w:val="18"/>
    </w:rPr>
  </w:style>
  <w:style w:type="character" w:customStyle="1" w:styleId="16">
    <w:name w:val="页眉 字符"/>
    <w:basedOn w:val="11"/>
    <w:link w:val="5"/>
    <w:qFormat/>
    <w:uiPriority w:val="99"/>
    <w:rPr>
      <w:rFonts w:ascii="Times New Roman" w:hAnsi="Times New Roman" w:eastAsia="宋体" w:cs="Times New Roman"/>
      <w:sz w:val="18"/>
      <w:szCs w:val="18"/>
    </w:rPr>
  </w:style>
  <w:style w:type="character" w:customStyle="1" w:styleId="17">
    <w:name w:val="fontstyle01"/>
    <w:basedOn w:val="11"/>
    <w:qFormat/>
    <w:uiPriority w:val="0"/>
    <w:rPr>
      <w:rFonts w:hint="eastAsia" w:ascii="宋体" w:hAnsi="宋体" w:eastAsia="宋体"/>
      <w:color w:val="000000"/>
      <w:sz w:val="24"/>
      <w:szCs w:val="24"/>
    </w:rPr>
  </w:style>
  <w:style w:type="paragraph" w:styleId="18">
    <w:name w:val="List Paragraph"/>
    <w:basedOn w:val="1"/>
    <w:qFormat/>
    <w:uiPriority w:val="34"/>
    <w:pPr>
      <w:ind w:firstLine="420" w:firstLineChars="200"/>
    </w:pPr>
  </w:style>
  <w:style w:type="character" w:customStyle="1" w:styleId="19">
    <w:name w:val="批注文字 字符"/>
    <w:basedOn w:val="11"/>
    <w:link w:val="2"/>
    <w:semiHidden/>
    <w:qFormat/>
    <w:uiPriority w:val="99"/>
    <w:rPr>
      <w:rFonts w:ascii="Times New Roman" w:hAnsi="Times New Roman" w:eastAsia="宋体" w:cs="Times New Roman"/>
      <w:szCs w:val="24"/>
    </w:rPr>
  </w:style>
  <w:style w:type="character" w:customStyle="1" w:styleId="20">
    <w:name w:val="批注主题 字符"/>
    <w:basedOn w:val="19"/>
    <w:link w:val="8"/>
    <w:semiHidden/>
    <w:qFormat/>
    <w:uiPriority w:val="99"/>
    <w:rPr>
      <w:rFonts w:ascii="Times New Roman" w:hAnsi="Times New Roman" w:eastAsia="宋体" w:cs="Times New Roman"/>
      <w:b/>
      <w:bCs/>
      <w:szCs w:val="24"/>
    </w:rPr>
  </w:style>
  <w:style w:type="character" w:customStyle="1" w:styleId="21">
    <w:name w:val="批注框文本 字符"/>
    <w:basedOn w:val="11"/>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175230-6469-46C9-8E18-8BBD3DE72DA8}">
  <ds:schemaRefs/>
</ds:datastoreItem>
</file>

<file path=docProps/app.xml><?xml version="1.0" encoding="utf-8"?>
<Properties xmlns="http://schemas.openxmlformats.org/officeDocument/2006/extended-properties" xmlns:vt="http://schemas.openxmlformats.org/officeDocument/2006/docPropsVTypes">
  <Template>Normal.dotm</Template>
  <Company>sse</Company>
  <Pages>9</Pages>
  <Words>2760</Words>
  <Characters>3673</Characters>
  <Lines>282</Lines>
  <Paragraphs>357</Paragraphs>
  <TotalTime>29</TotalTime>
  <ScaleCrop>false</ScaleCrop>
  <LinksUpToDate>false</LinksUpToDate>
  <CharactersWithSpaces>6076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2021-04-25T15:09:00Z</dcterms:created>
  <dc:creator>Guoqing Zhang张国庆</dc:creator>
  <cp:lastModifiedBy>李</cp:lastModifiedBy>
  <dcterms:modified xsi:type="dcterms:W3CDTF">2021-04-26T02:21:16Z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7F782363D76E4B40ADAFAA3349D3C37C</vt:lpwstr>
  </property>
</Properties>
</file>